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2257" w:rsidP="22EF370E" w:rsidRDefault="00AF2257" w14:paraId="6E7F8D33" w14:textId="29343998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Segoe UI"/>
          <w:color w:val="2F5496" w:themeColor="accent1" w:themeTint="FF" w:themeShade="BF"/>
          <w:sz w:val="32"/>
          <w:szCs w:val="32"/>
        </w:rPr>
      </w:pPr>
      <w:r w:rsidRPr="22EF370E" w:rsidR="00AF2257">
        <w:rPr>
          <w:rStyle w:val="normaltextrun"/>
          <w:rFonts w:ascii="Calibri" w:hAnsi="Calibri" w:cs="Segoe UI"/>
          <w:color w:val="2F5496" w:themeColor="accent1" w:themeTint="FF" w:themeShade="BF"/>
          <w:sz w:val="32"/>
          <w:szCs w:val="32"/>
        </w:rPr>
        <w:t>Charter: A Course</w:t>
      </w:r>
      <w:r w:rsidRPr="22EF370E" w:rsidR="00AF2257">
        <w:rPr>
          <w:rStyle w:val="eop"/>
          <w:rFonts w:ascii="Calibri" w:hAnsi="Calibri" w:cs="Segoe UI"/>
          <w:color w:val="2F5496" w:themeColor="accent1" w:themeTint="FF" w:themeShade="BF"/>
          <w:sz w:val="32"/>
          <w:szCs w:val="32"/>
        </w:rPr>
        <w:t> </w:t>
      </w:r>
    </w:p>
    <w:p w:rsidR="00AF2257" w:rsidP="00AF2257" w:rsidRDefault="00AF2257" w14:paraId="2E58BCD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2F5496"/>
          <w:sz w:val="22"/>
          <w:szCs w:val="22"/>
        </w:rPr>
        <w:t>A podcast about Canadian Constitutional Law &amp; Litigation</w:t>
      </w:r>
      <w:r>
        <w:rPr>
          <w:rStyle w:val="eop"/>
          <w:rFonts w:ascii="Calibri" w:hAnsi="Calibri" w:cs="Segoe UI"/>
          <w:color w:val="2F5496"/>
          <w:sz w:val="22"/>
          <w:szCs w:val="22"/>
        </w:rPr>
        <w:t> </w:t>
      </w:r>
    </w:p>
    <w:p w:rsidR="00AF2257" w:rsidP="00AF2257" w:rsidRDefault="00AF2257" w14:paraId="1D51396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AF2257" w:rsidP="22EF370E" w:rsidRDefault="00AF2257" w14:paraId="50131DB2" w14:textId="2E5939AC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22EF370E" w:rsidR="28612375">
        <w:rPr>
          <w:rStyle w:val="normaltextrun"/>
          <w:rFonts w:ascii="Calibri" w:hAnsi="Calibri" w:cs="Segoe UI"/>
          <w:b w:val="1"/>
          <w:bCs w:val="1"/>
          <w:i w:val="1"/>
          <w:iCs w:val="1"/>
          <w:color w:val="000000" w:themeColor="text1" w:themeTint="FF" w:themeShade="FF"/>
          <w:sz w:val="28"/>
          <w:szCs w:val="28"/>
        </w:rPr>
        <w:t xml:space="preserve">Season 2, </w:t>
      </w:r>
      <w:r w:rsidRPr="22EF370E" w:rsidR="00AF2257">
        <w:rPr>
          <w:rStyle w:val="normaltextrun"/>
          <w:rFonts w:ascii="Calibri" w:hAnsi="Calibri" w:cs="Segoe UI"/>
          <w:b w:val="1"/>
          <w:bCs w:val="1"/>
          <w:i w:val="1"/>
          <w:iCs w:val="1"/>
          <w:color w:val="000000" w:themeColor="text1" w:themeTint="FF" w:themeShade="FF"/>
          <w:sz w:val="28"/>
          <w:szCs w:val="28"/>
        </w:rPr>
        <w:t xml:space="preserve">Episode </w:t>
      </w:r>
      <w:r w:rsidRPr="22EF370E" w:rsidR="6C9A9588">
        <w:rPr>
          <w:rStyle w:val="normaltextrun"/>
          <w:rFonts w:ascii="Calibri" w:hAnsi="Calibri" w:cs="Segoe UI"/>
          <w:b w:val="1"/>
          <w:bCs w:val="1"/>
          <w:i w:val="1"/>
          <w:iCs w:val="1"/>
          <w:color w:val="000000" w:themeColor="text1" w:themeTint="FF" w:themeShade="FF"/>
          <w:sz w:val="28"/>
          <w:szCs w:val="28"/>
        </w:rPr>
        <w:t>1</w:t>
      </w:r>
      <w:r w:rsidRPr="22EF370E" w:rsidR="00AF2257">
        <w:rPr>
          <w:rStyle w:val="normaltextrun"/>
          <w:rFonts w:ascii="Calibri" w:hAnsi="Calibri" w:cs="Segoe UI"/>
          <w:b w:val="1"/>
          <w:bCs w:val="1"/>
          <w:i w:val="1"/>
          <w:iCs w:val="1"/>
          <w:color w:val="000000" w:themeColor="text1" w:themeTint="FF" w:themeShade="FF"/>
          <w:sz w:val="28"/>
          <w:szCs w:val="28"/>
        </w:rPr>
        <w:t xml:space="preserve">: Section </w:t>
      </w:r>
      <w:r w:rsidRPr="22EF370E" w:rsidR="00AF2257">
        <w:rPr>
          <w:rStyle w:val="normaltextrun"/>
          <w:rFonts w:ascii="Calibri" w:hAnsi="Calibri" w:cs="Segoe UI"/>
          <w:b w:val="1"/>
          <w:bCs w:val="1"/>
          <w:i w:val="1"/>
          <w:iCs w:val="1"/>
          <w:color w:val="000000" w:themeColor="text1" w:themeTint="FF" w:themeShade="FF"/>
          <w:sz w:val="28"/>
          <w:szCs w:val="28"/>
        </w:rPr>
        <w:t>28 of the Charter and Feminist Law Reform</w:t>
      </w:r>
      <w:r w:rsidRPr="22EF370E" w:rsidR="00AF2257">
        <w:rPr>
          <w:rStyle w:val="eop"/>
          <w:rFonts w:ascii="Calibri" w:hAnsi="Calibri" w:cs="Segoe UI"/>
          <w:color w:val="000000" w:themeColor="text1" w:themeTint="FF" w:themeShade="FF"/>
          <w:sz w:val="28"/>
          <w:szCs w:val="28"/>
        </w:rPr>
        <w:t> </w:t>
      </w:r>
    </w:p>
    <w:p w:rsidR="00AF2257" w:rsidP="00AF2257" w:rsidRDefault="00AF2257" w14:paraId="08671F3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z w:val="22"/>
          <w:szCs w:val="22"/>
        </w:rPr>
        <w:t> </w:t>
      </w:r>
      <w:r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:rsidR="00AF2257" w:rsidP="00AF2257" w:rsidRDefault="00AF2257" w14:paraId="77263E6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2F5496"/>
          <w:sz w:val="32"/>
          <w:szCs w:val="32"/>
        </w:rPr>
        <w:t>About the Series </w:t>
      </w:r>
      <w:r>
        <w:rPr>
          <w:rStyle w:val="eop"/>
          <w:rFonts w:ascii="Calibri" w:hAnsi="Calibri" w:cs="Segoe UI"/>
          <w:color w:val="2F5496"/>
          <w:sz w:val="32"/>
          <w:szCs w:val="32"/>
        </w:rPr>
        <w:t> </w:t>
      </w:r>
    </w:p>
    <w:p w:rsidR="00AF2257" w:rsidP="00AF2257" w:rsidRDefault="00AF2257" w14:paraId="1133D33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AF2257" w:rsidP="00AF2257" w:rsidRDefault="00AF2257" w14:paraId="0C3A1BC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Charter: A Course is a podcast created by the David Asper Centre for Constitutional Rights (the Asper Centre) and hosted by the Asper Centre’s Executive Director </w:t>
      </w:r>
      <w:hyperlink w:tgtFrame="_blank" w:history="1" r:id="rId4">
        <w:r w:rsidRPr="00AF2257">
          <w:rPr>
            <w:rStyle w:val="normaltextrun"/>
            <w:rFonts w:ascii="Calibri" w:hAnsi="Calibri" w:cs="Segoe UI"/>
            <w:color w:val="0563C1"/>
            <w:sz w:val="22"/>
            <w:szCs w:val="22"/>
            <w:u w:val="single"/>
          </w:rPr>
          <w:t>Cher</w:t>
        </w:r>
        <w:r w:rsidRPr="00AF2257">
          <w:rPr>
            <w:rStyle w:val="normaltextrun"/>
            <w:rFonts w:ascii="Calibri" w:hAnsi="Calibri" w:cs="Segoe UI"/>
            <w:color w:val="0563C1"/>
            <w:sz w:val="22"/>
            <w:szCs w:val="22"/>
            <w:u w:val="single"/>
          </w:rPr>
          <w:t>y</w:t>
        </w:r>
        <w:r w:rsidRPr="00AF2257">
          <w:rPr>
            <w:rStyle w:val="normaltextrun"/>
            <w:rFonts w:ascii="Calibri" w:hAnsi="Calibri" w:cs="Segoe UI"/>
            <w:color w:val="0563C1"/>
            <w:sz w:val="22"/>
            <w:szCs w:val="22"/>
            <w:u w:val="single"/>
          </w:rPr>
          <w:t>l Milne</w:t>
        </w:r>
      </w:hyperlink>
      <w:r w:rsidRPr="00AF2257">
        <w:rPr>
          <w:rStyle w:val="normaltextrun"/>
          <w:color w:val="000000"/>
          <w:u w:val="single"/>
        </w:rPr>
        <w:t>.</w:t>
      </w:r>
      <w:r>
        <w:rPr>
          <w:rStyle w:val="normaltextrun"/>
          <w:color w:val="000000"/>
        </w:rPr>
        <w:t> </w:t>
      </w:r>
      <w:r>
        <w:rPr>
          <w:rStyle w:val="eop"/>
          <w:color w:val="000000"/>
        </w:rPr>
        <w:t> </w:t>
      </w:r>
    </w:p>
    <w:p w:rsidR="00AF2257" w:rsidP="00AF2257" w:rsidRDefault="00AF2257" w14:paraId="2C48696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:rsidR="00AF2257" w:rsidP="00AF2257" w:rsidRDefault="00AF2257" w14:paraId="70FF57A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z w:val="22"/>
          <w:szCs w:val="22"/>
        </w:rPr>
        <w:t>Charter: A Course focuses on Canadian constitutional law and litigation. In each episode, we highlight the accomplishments of U of T Law’s faculty and alumni involved in leading constitutional cases and issues. Each episode also includes a “Practice Corner,” where we talk about the ins and outs of what it means to be a constitutional litigator.  </w:t>
      </w:r>
      <w:r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:rsidR="00AF2257" w:rsidP="00AF2257" w:rsidRDefault="00AF2257" w14:paraId="0ED34C7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AF2257" w:rsidP="00AF2257" w:rsidRDefault="00AF2257" w14:paraId="5B29F33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z w:val="22"/>
          <w:szCs w:val="22"/>
        </w:rPr>
        <w:t>Whether you are a law student, a lawyer, or just an interested person, we hope that you learn about an aspect of constitutional law and litigation that interests you in our podcast.</w:t>
      </w:r>
      <w:r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:rsidR="00AF2257" w:rsidP="00AF2257" w:rsidRDefault="00AF2257" w14:paraId="7364210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AF2257" w:rsidP="22EF370E" w:rsidRDefault="00AF2257" w14:paraId="6352FAA7" w14:textId="18477CEC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22EF370E" w:rsidR="00AF2257">
        <w:rPr>
          <w:rStyle w:val="normaltextrun"/>
          <w:rFonts w:ascii="Calibri" w:hAnsi="Calibri" w:cs="Segoe UI"/>
          <w:color w:val="2F5496" w:themeColor="accent1" w:themeTint="FF" w:themeShade="BF"/>
          <w:sz w:val="32"/>
          <w:szCs w:val="32"/>
        </w:rPr>
        <w:t>Show Notes </w:t>
      </w:r>
      <w:r w:rsidRPr="22EF370E" w:rsidR="00AF2257">
        <w:rPr>
          <w:rStyle w:val="eop"/>
          <w:rFonts w:ascii="Calibri" w:hAnsi="Calibri" w:cs="Segoe UI"/>
          <w:color w:val="2F5496" w:themeColor="accent1" w:themeTint="FF" w:themeShade="BF"/>
          <w:sz w:val="32"/>
          <w:szCs w:val="32"/>
        </w:rPr>
        <w:t> </w:t>
      </w:r>
    </w:p>
    <w:p w:rsidR="00AF2257" w:rsidP="00AF2257" w:rsidRDefault="00AF2257" w14:paraId="0166CA0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:rsidR="00AF2257" w:rsidP="22EF370E" w:rsidRDefault="00AF2257" w14:paraId="4BD07641" w14:textId="328A5F56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alibri" w:hAnsi="Calibri" w:cs="Segoe UI"/>
          <w:color w:val="000000"/>
          <w:sz w:val="22"/>
          <w:szCs w:val="22"/>
        </w:rPr>
      </w:pPr>
      <w:r w:rsidRPr="22EF370E" w:rsidR="00AF2257">
        <w:rPr>
          <w:rStyle w:val="normaltextrun"/>
          <w:rFonts w:ascii="Calibri" w:hAnsi="Calibri" w:cs="Segoe UI"/>
          <w:color w:val="000000" w:themeColor="text1" w:themeTint="FF" w:themeShade="FF"/>
          <w:sz w:val="22"/>
          <w:szCs w:val="22"/>
        </w:rPr>
        <w:t xml:space="preserve">This episode focuses on section </w:t>
      </w:r>
      <w:r w:rsidRPr="22EF370E" w:rsidR="00AF2257">
        <w:rPr>
          <w:rStyle w:val="normaltextrun"/>
          <w:rFonts w:ascii="Calibri" w:hAnsi="Calibri" w:cs="Segoe UI"/>
          <w:color w:val="000000" w:themeColor="text1" w:themeTint="FF" w:themeShade="FF"/>
          <w:sz w:val="22"/>
          <w:szCs w:val="22"/>
        </w:rPr>
        <w:t>28</w:t>
      </w:r>
      <w:r w:rsidRPr="22EF370E" w:rsidR="00AF2257">
        <w:rPr>
          <w:rStyle w:val="normaltextrun"/>
          <w:rFonts w:ascii="Calibri" w:hAnsi="Calibri" w:cs="Segoe UI"/>
          <w:color w:val="000000" w:themeColor="text1" w:themeTint="FF" w:themeShade="FF"/>
          <w:sz w:val="22"/>
          <w:szCs w:val="22"/>
        </w:rPr>
        <w:t xml:space="preserve"> of the Canadian Charter of Rights and Freedoms, which states </w:t>
      </w:r>
      <w:r w:rsidRPr="22EF370E" w:rsidR="00AF2257">
        <w:rPr>
          <w:rStyle w:val="normaltextrun"/>
          <w:rFonts w:ascii="Calibri" w:hAnsi="Calibri" w:cs="Segoe UI"/>
          <w:color w:val="000000" w:themeColor="text1" w:themeTint="FF" w:themeShade="FF"/>
          <w:sz w:val="22"/>
          <w:szCs w:val="22"/>
        </w:rPr>
        <w:t>that no</w:t>
      </w:r>
      <w:r w:rsidRPr="22EF370E" w:rsidR="00AF2257">
        <w:rPr>
          <w:rStyle w:val="normaltextrun"/>
          <w:rFonts w:ascii="Calibri" w:hAnsi="Calibri" w:cs="Segoe UI"/>
          <w:color w:val="000000" w:themeColor="text1" w:themeTint="FF" w:themeShade="FF"/>
          <w:sz w:val="22"/>
          <w:szCs w:val="22"/>
        </w:rPr>
        <w:t xml:space="preserve">twithstanding anything in </w:t>
      </w:r>
      <w:r w:rsidRPr="22EF370E" w:rsidR="00AF2257">
        <w:rPr>
          <w:rStyle w:val="normaltextrun"/>
          <w:rFonts w:ascii="Calibri" w:hAnsi="Calibri" w:cs="Segoe UI"/>
          <w:color w:val="000000" w:themeColor="text1" w:themeTint="FF" w:themeShade="FF"/>
          <w:sz w:val="22"/>
          <w:szCs w:val="22"/>
        </w:rPr>
        <w:t>the</w:t>
      </w:r>
      <w:r w:rsidRPr="22EF370E" w:rsidR="00AF2257">
        <w:rPr>
          <w:rStyle w:val="normaltextrun"/>
          <w:rFonts w:ascii="Calibri" w:hAnsi="Calibri" w:cs="Segoe UI"/>
          <w:color w:val="000000" w:themeColor="text1" w:themeTint="FF" w:themeShade="FF"/>
          <w:sz w:val="22"/>
          <w:szCs w:val="22"/>
        </w:rPr>
        <w:t xml:space="preserve"> Charter, the rights and freedoms referred to in it are guaranteed equally to male and female persons.</w:t>
      </w:r>
      <w:r w:rsidRPr="22EF370E" w:rsidR="00AF2257">
        <w:rPr>
          <w:rStyle w:val="normaltextrun"/>
          <w:rFonts w:ascii="Calibri" w:hAnsi="Calibri" w:cs="Segoe UI"/>
          <w:color w:val="000000" w:themeColor="text1" w:themeTint="FF" w:themeShade="FF"/>
          <w:sz w:val="22"/>
          <w:szCs w:val="22"/>
        </w:rPr>
        <w:t xml:space="preserve"> </w:t>
      </w:r>
    </w:p>
    <w:p w:rsidR="22EF370E" w:rsidP="22EF370E" w:rsidRDefault="22EF370E" w14:paraId="747CB490" w14:textId="121119CE">
      <w:pPr>
        <w:pStyle w:val="paragraph"/>
        <w:spacing w:before="0" w:beforeAutospacing="off" w:after="0" w:afterAutospacing="off"/>
        <w:rPr>
          <w:rStyle w:val="normaltextrun"/>
          <w:rFonts w:ascii="Calibri" w:hAnsi="Calibri" w:cs="Segoe UI"/>
          <w:color w:val="000000" w:themeColor="text1" w:themeTint="FF" w:themeShade="FF"/>
          <w:sz w:val="22"/>
          <w:szCs w:val="22"/>
        </w:rPr>
      </w:pPr>
    </w:p>
    <w:p w:rsidR="00AF2257" w:rsidP="5C5F032E" w:rsidRDefault="00AF2257" w14:paraId="3C9C909D" w14:textId="67DE14AF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5C5F032E" w:rsidR="00AF2257">
        <w:rPr>
          <w:rStyle w:val="normaltextrun"/>
          <w:rFonts w:ascii="Calibri" w:hAnsi="Calibri" w:cs="Segoe UI"/>
          <w:color w:val="000000" w:themeColor="text1" w:themeTint="FF" w:themeShade="FF"/>
          <w:sz w:val="22"/>
          <w:szCs w:val="22"/>
        </w:rPr>
        <w:t>With the help of our distinguished guest</w:t>
      </w:r>
      <w:r w:rsidRPr="5C5F032E" w:rsidR="00AF2257">
        <w:rPr>
          <w:rStyle w:val="normaltextrun"/>
          <w:rFonts w:ascii="Calibri" w:hAnsi="Calibri" w:cs="Segoe UI"/>
          <w:color w:val="000000" w:themeColor="text1" w:themeTint="FF" w:themeShade="FF"/>
          <w:sz w:val="22"/>
          <w:szCs w:val="22"/>
        </w:rPr>
        <w:t xml:space="preserve"> </w:t>
      </w:r>
      <w:hyperlink r:id="R7c33b3653fa14c41">
        <w:r w:rsidRPr="5C5F032E" w:rsidR="00AF2257">
          <w:rPr>
            <w:rStyle w:val="Hyperlink"/>
            <w:rFonts w:ascii="Calibri" w:hAnsi="Calibri" w:cs="Segoe UI"/>
            <w:sz w:val="22"/>
            <w:szCs w:val="22"/>
          </w:rPr>
          <w:t xml:space="preserve">Professor Kerri </w:t>
        </w:r>
        <w:r w:rsidRPr="5C5F032E" w:rsidR="00AF2257">
          <w:rPr>
            <w:rStyle w:val="Hyperlink"/>
            <w:rFonts w:ascii="Calibri" w:hAnsi="Calibri" w:cs="Segoe UI"/>
            <w:sz w:val="22"/>
            <w:szCs w:val="22"/>
          </w:rPr>
          <w:t>Froc</w:t>
        </w:r>
      </w:hyperlink>
      <w:r w:rsidRPr="5C5F032E" w:rsidR="00AF2257">
        <w:rPr>
          <w:rStyle w:val="normaltextrun"/>
          <w:rFonts w:ascii="Calibri" w:hAnsi="Calibri" w:cs="Segoe UI"/>
          <w:color w:val="000000" w:themeColor="text1" w:themeTint="FF" w:themeShade="FF"/>
          <w:sz w:val="22"/>
          <w:szCs w:val="22"/>
        </w:rPr>
        <w:t xml:space="preserve"> we trace the history of Section </w:t>
      </w:r>
      <w:r w:rsidRPr="5C5F032E" w:rsidR="00AF2257">
        <w:rPr>
          <w:rStyle w:val="normaltextrun"/>
          <w:rFonts w:ascii="Calibri" w:hAnsi="Calibri" w:cs="Segoe UI"/>
          <w:color w:val="000000" w:themeColor="text1" w:themeTint="FF" w:themeShade="FF"/>
          <w:sz w:val="22"/>
          <w:szCs w:val="22"/>
        </w:rPr>
        <w:t>28</w:t>
      </w:r>
      <w:r w:rsidRPr="5C5F032E" w:rsidR="00AF2257">
        <w:rPr>
          <w:rStyle w:val="normaltextrun"/>
          <w:rFonts w:ascii="Calibri" w:hAnsi="Calibri" w:cs="Segoe UI"/>
          <w:color w:val="000000" w:themeColor="text1" w:themeTint="FF" w:themeShade="FF"/>
          <w:sz w:val="22"/>
          <w:szCs w:val="22"/>
        </w:rPr>
        <w:t xml:space="preserve"> and its </w:t>
      </w:r>
      <w:r w:rsidRPr="5C5F032E" w:rsidR="00B2455F">
        <w:rPr>
          <w:rStyle w:val="normaltextrun"/>
          <w:rFonts w:ascii="Calibri" w:hAnsi="Calibri" w:cs="Segoe UI"/>
          <w:color w:val="000000" w:themeColor="text1" w:themeTint="FF" w:themeShade="FF"/>
          <w:sz w:val="22"/>
          <w:szCs w:val="22"/>
        </w:rPr>
        <w:t>questionable</w:t>
      </w:r>
      <w:r w:rsidRPr="5C5F032E" w:rsidR="00AF2257">
        <w:rPr>
          <w:rStyle w:val="normaltextrun"/>
          <w:rFonts w:ascii="Calibri" w:hAnsi="Calibri" w:cs="Segoe UI"/>
          <w:color w:val="000000" w:themeColor="text1" w:themeTint="FF" w:themeShade="FF"/>
          <w:sz w:val="22"/>
          <w:szCs w:val="22"/>
        </w:rPr>
        <w:t xml:space="preserve"> usage</w:t>
      </w:r>
      <w:r w:rsidRPr="5C5F032E" w:rsidR="00AF2257">
        <w:rPr>
          <w:rStyle w:val="normaltextrun"/>
          <w:rFonts w:ascii="Calibri" w:hAnsi="Calibri" w:cs="Segoe UI"/>
          <w:color w:val="000000" w:themeColor="text1" w:themeTint="FF" w:themeShade="FF"/>
          <w:sz w:val="22"/>
          <w:szCs w:val="22"/>
        </w:rPr>
        <w:t xml:space="preserve"> in jurisprudence</w:t>
      </w:r>
      <w:r w:rsidRPr="5C5F032E" w:rsidR="00AF2257">
        <w:rPr>
          <w:rStyle w:val="normaltextrun"/>
          <w:rFonts w:ascii="Calibri" w:hAnsi="Calibri" w:cs="Segoe UI"/>
          <w:color w:val="000000" w:themeColor="text1" w:themeTint="FF" w:themeShade="FF"/>
          <w:sz w:val="22"/>
          <w:szCs w:val="22"/>
        </w:rPr>
        <w:t xml:space="preserve">, before discussing how a case currently making its way to the Quebec Court of Appeal may provide an opportunity for Section 28 to truly shine for the first time. </w:t>
      </w:r>
      <w:r>
        <w:br/>
      </w:r>
    </w:p>
    <w:p w:rsidR="00AF2257" w:rsidP="5C5F032E" w:rsidRDefault="00AF2257" w14:paraId="5D64B345" w14:textId="66D65BCC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5C5F032E" w:rsidR="00AF2257">
        <w:rPr>
          <w:rStyle w:val="normaltextrun"/>
          <w:rFonts w:ascii="Calibri" w:hAnsi="Calibri" w:cs="Segoe UI"/>
          <w:color w:val="000000" w:themeColor="text1" w:themeTint="FF" w:themeShade="FF"/>
          <w:sz w:val="22"/>
          <w:szCs w:val="22"/>
        </w:rPr>
        <w:t xml:space="preserve">In the Practice Corner, </w:t>
      </w:r>
      <w:hyperlink r:id="R7b8ce296dc704888">
        <w:r w:rsidRPr="5C5F032E" w:rsidR="00AF2257">
          <w:rPr>
            <w:rStyle w:val="Hyperlink"/>
            <w:rFonts w:ascii="Calibri" w:hAnsi="Calibri" w:cs="Segoe UI"/>
            <w:sz w:val="22"/>
            <w:szCs w:val="22"/>
          </w:rPr>
          <w:t>Professor Martha Jackman</w:t>
        </w:r>
      </w:hyperlink>
      <w:r w:rsidRPr="5C5F032E" w:rsidR="00AF2257">
        <w:rPr>
          <w:rStyle w:val="normaltextrun"/>
          <w:rFonts w:ascii="Calibri" w:hAnsi="Calibri" w:cs="Segoe UI"/>
          <w:color w:val="000000" w:themeColor="text1" w:themeTint="FF" w:themeShade="FF"/>
          <w:sz w:val="22"/>
          <w:szCs w:val="22"/>
        </w:rPr>
        <w:t xml:space="preserve"> tells us about Feminist Law Reform 101, a free online course designed to provide the tools to teach and inspire a new generation of feminist legal advocates like the ones who brought Section 28 into being. </w:t>
      </w:r>
      <w:r>
        <w:br/>
      </w:r>
    </w:p>
    <w:p w:rsidR="00AF2257" w:rsidP="3AA1E90A" w:rsidRDefault="00AF2257" w14:paraId="7B3E4EE8" w14:textId="73239166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3AA1E90A" w:rsidR="00AF2257">
        <w:rPr>
          <w:rStyle w:val="normaltextrun"/>
          <w:rFonts w:ascii="Calibri" w:hAnsi="Calibri" w:cs="Segoe UI"/>
          <w:color w:val="000000" w:themeColor="text1" w:themeTint="FF" w:themeShade="FF"/>
          <w:sz w:val="22"/>
          <w:szCs w:val="22"/>
        </w:rPr>
        <w:t>Find a full transcript of this episode</w:t>
      </w:r>
      <w:r w:rsidRPr="3AA1E90A" w:rsidR="00AF2257">
        <w:rPr>
          <w:rStyle w:val="normaltextrun"/>
          <w:rFonts w:ascii="Calibri" w:hAnsi="Calibri" w:cs="Segoe UI"/>
          <w:sz w:val="22"/>
          <w:szCs w:val="22"/>
        </w:rPr>
        <w:t xml:space="preserve"> </w:t>
      </w:r>
      <w:hyperlink r:id="R16d72c5628454858">
        <w:r w:rsidRPr="3AA1E90A" w:rsidR="4AB96E95">
          <w:rPr>
            <w:rStyle w:val="Hyperlink"/>
            <w:rFonts w:ascii="Calibri" w:hAnsi="Calibri" w:cs="Segoe UI"/>
            <w:sz w:val="22"/>
            <w:szCs w:val="22"/>
          </w:rPr>
          <w:t>HERE</w:t>
        </w:r>
        <w:r w:rsidRPr="3AA1E90A" w:rsidR="2403A3C6">
          <w:rPr>
            <w:rStyle w:val="Hyperlink"/>
            <w:rFonts w:ascii="Calibri" w:hAnsi="Calibri" w:cs="Segoe UI"/>
            <w:sz w:val="22"/>
            <w:szCs w:val="22"/>
          </w:rPr>
          <w:t>.</w:t>
        </w:r>
        <w:r>
          <w:br/>
        </w:r>
      </w:hyperlink>
    </w:p>
    <w:p w:rsidR="00AF2257" w:rsidP="00AF2257" w:rsidRDefault="00AF2257" w14:paraId="20660941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2F5496"/>
          <w:sz w:val="32"/>
          <w:szCs w:val="32"/>
        </w:rPr>
        <w:t>Case Links</w:t>
      </w:r>
      <w:r>
        <w:rPr>
          <w:rStyle w:val="eop"/>
          <w:rFonts w:ascii="Calibri" w:hAnsi="Calibri" w:cs="Segoe UI"/>
          <w:color w:val="2F5496"/>
          <w:sz w:val="32"/>
          <w:szCs w:val="32"/>
        </w:rPr>
        <w:t> </w:t>
      </w:r>
    </w:p>
    <w:p w:rsidR="00AF2257" w:rsidP="00AF2257" w:rsidRDefault="00AF2257" w14:paraId="42D0A140" w14:textId="40D8C32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z w:val="22"/>
          <w:szCs w:val="22"/>
        </w:rPr>
        <w:t>In this episode, the following cases were discussed:</w:t>
      </w:r>
      <w:r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:rsidRPr="00AF2257" w:rsidR="00AF2257" w:rsidP="00AF2257" w:rsidRDefault="00AF2257" w14:paraId="011AF2E3" w14:textId="300139E9">
      <w:pPr>
        <w:pStyle w:val="paragraph"/>
        <w:textAlignment w:val="baseline"/>
        <w:rPr>
          <w:rStyle w:val="eop"/>
          <w:rFonts w:ascii="Calibri" w:hAnsi="Calibri" w:cs="Segoe UI"/>
          <w:color w:val="000000"/>
          <w:sz w:val="22"/>
          <w:szCs w:val="22"/>
        </w:rPr>
      </w:pPr>
      <w:hyperlink w:history="1" r:id="rId5">
        <w:r w:rsidRPr="00AF2257">
          <w:rPr>
            <w:rStyle w:val="Hyperlink"/>
            <w:rFonts w:ascii="Calibri" w:hAnsi="Calibri" w:cs="Segoe UI"/>
            <w:sz w:val="22"/>
            <w:szCs w:val="22"/>
          </w:rPr>
          <w:t>Bliss v Canada (AG) [1979] 1 SCR 183</w:t>
        </w:r>
      </w:hyperlink>
    </w:p>
    <w:p w:rsidRPr="00AF2257" w:rsidR="00AF2257" w:rsidP="00AF2257" w:rsidRDefault="00AF2257" w14:paraId="01E4AB29" w14:textId="4E2BE26B">
      <w:pPr>
        <w:pStyle w:val="paragraph"/>
        <w:textAlignment w:val="baseline"/>
        <w:rPr>
          <w:rStyle w:val="eop"/>
          <w:rFonts w:ascii="Calibri" w:hAnsi="Calibri" w:cs="Segoe UI"/>
          <w:color w:val="000000"/>
          <w:sz w:val="22"/>
          <w:szCs w:val="22"/>
        </w:rPr>
      </w:pPr>
      <w:hyperlink w:history="1" r:id="rId6">
        <w:r w:rsidRPr="00AF2257">
          <w:rPr>
            <w:rStyle w:val="Hyperlink"/>
            <w:rFonts w:ascii="Calibri" w:hAnsi="Calibri" w:cs="Segoe UI"/>
            <w:sz w:val="22"/>
            <w:szCs w:val="22"/>
          </w:rPr>
          <w:t>Canada (AG) v Lavell, [1974] SCR 1349</w:t>
        </w:r>
      </w:hyperlink>
    </w:p>
    <w:p w:rsidRPr="00AF2257" w:rsidR="00AF2257" w:rsidP="00AF2257" w:rsidRDefault="00AF2257" w14:paraId="3C86FC51" w14:textId="5A031135">
      <w:pPr>
        <w:pStyle w:val="paragraph"/>
        <w:textAlignment w:val="baseline"/>
        <w:rPr>
          <w:rStyle w:val="eop"/>
          <w:rFonts w:ascii="Calibri" w:hAnsi="Calibri" w:cs="Segoe UI"/>
          <w:color w:val="000000"/>
          <w:sz w:val="22"/>
          <w:szCs w:val="22"/>
        </w:rPr>
      </w:pPr>
      <w:hyperlink w:history="1" r:id="rId7">
        <w:r w:rsidRPr="00AF2257">
          <w:rPr>
            <w:rStyle w:val="Hyperlink"/>
            <w:rFonts w:ascii="Calibri" w:hAnsi="Calibri" w:cs="Segoe UI"/>
            <w:sz w:val="22"/>
            <w:szCs w:val="22"/>
          </w:rPr>
          <w:t>Andrews v Law Society of British Columbia, [1989] 1 SCR 143</w:t>
        </w:r>
      </w:hyperlink>
      <w:r w:rsidRPr="00AF2257">
        <w:rPr>
          <w:rStyle w:val="eop"/>
          <w:rFonts w:ascii="Calibri" w:hAnsi="Calibri" w:cs="Segoe UI"/>
          <w:color w:val="000000"/>
          <w:sz w:val="22"/>
          <w:szCs w:val="22"/>
        </w:rPr>
        <w:t xml:space="preserve"> </w:t>
      </w:r>
    </w:p>
    <w:p w:rsidRPr="00AF2257" w:rsidR="00AF2257" w:rsidP="00AF2257" w:rsidRDefault="00AF2257" w14:paraId="218A8C26" w14:textId="221334F1">
      <w:pPr>
        <w:pStyle w:val="paragraph"/>
        <w:textAlignment w:val="baseline"/>
        <w:rPr>
          <w:rStyle w:val="eop"/>
          <w:rFonts w:ascii="Calibri" w:hAnsi="Calibri" w:cs="Segoe UI"/>
          <w:color w:val="000000"/>
          <w:sz w:val="22"/>
          <w:szCs w:val="22"/>
        </w:rPr>
      </w:pPr>
      <w:hyperlink w:history="1" r:id="rId8">
        <w:r w:rsidRPr="00AF2257">
          <w:rPr>
            <w:rStyle w:val="Hyperlink"/>
            <w:rFonts w:ascii="Calibri" w:hAnsi="Calibri" w:cs="Segoe UI"/>
            <w:sz w:val="22"/>
            <w:szCs w:val="22"/>
          </w:rPr>
          <w:t>R v Hess; R v Nguyen, [1990] 2 SCR 906</w:t>
        </w:r>
      </w:hyperlink>
    </w:p>
    <w:p w:rsidRPr="00AF2257" w:rsidR="00AF2257" w:rsidP="00AF2257" w:rsidRDefault="00AF2257" w14:paraId="5B2F5B6E" w14:textId="18F46E3A">
      <w:pPr>
        <w:pStyle w:val="paragraph"/>
        <w:textAlignment w:val="baseline"/>
        <w:rPr>
          <w:rStyle w:val="eop"/>
          <w:rFonts w:ascii="Calibri" w:hAnsi="Calibri" w:cs="Segoe UI"/>
          <w:color w:val="000000"/>
          <w:sz w:val="22"/>
          <w:szCs w:val="22"/>
        </w:rPr>
      </w:pPr>
      <w:hyperlink w:history="1" r:id="rId9">
        <w:r w:rsidRPr="00AF2257">
          <w:rPr>
            <w:rStyle w:val="Hyperlink"/>
            <w:rFonts w:ascii="Calibri" w:hAnsi="Calibri" w:cs="Segoe UI"/>
            <w:sz w:val="22"/>
            <w:szCs w:val="22"/>
          </w:rPr>
          <w:t>Blainey v Ontario Hoc</w:t>
        </w:r>
        <w:r w:rsidRPr="00AF2257">
          <w:rPr>
            <w:rStyle w:val="Hyperlink"/>
            <w:rFonts w:ascii="Calibri" w:hAnsi="Calibri" w:cs="Segoe UI"/>
            <w:sz w:val="22"/>
            <w:szCs w:val="22"/>
          </w:rPr>
          <w:t>k</w:t>
        </w:r>
        <w:r w:rsidRPr="00AF2257">
          <w:rPr>
            <w:rStyle w:val="Hyperlink"/>
            <w:rFonts w:ascii="Calibri" w:hAnsi="Calibri" w:cs="Segoe UI"/>
            <w:sz w:val="22"/>
            <w:szCs w:val="22"/>
          </w:rPr>
          <w:t>ey Association (1986) 54 OR (2d) 513</w:t>
        </w:r>
      </w:hyperlink>
    </w:p>
    <w:p w:rsidRPr="00AF2257" w:rsidR="00AF2257" w:rsidP="00AF2257" w:rsidRDefault="00AF2257" w14:paraId="42D36BB2" w14:textId="497B4A96">
      <w:pPr>
        <w:pStyle w:val="paragraph"/>
        <w:textAlignment w:val="baseline"/>
        <w:rPr>
          <w:rStyle w:val="eop"/>
          <w:rFonts w:ascii="Calibri" w:hAnsi="Calibri" w:cs="Segoe UI"/>
          <w:color w:val="000000"/>
          <w:sz w:val="22"/>
          <w:szCs w:val="22"/>
        </w:rPr>
      </w:pPr>
      <w:hyperlink w:history="1" r:id="rId10">
        <w:r w:rsidRPr="00AF2257">
          <w:rPr>
            <w:rStyle w:val="Hyperlink"/>
            <w:rFonts w:ascii="Calibri" w:hAnsi="Calibri" w:cs="Segoe UI"/>
            <w:sz w:val="22"/>
            <w:szCs w:val="22"/>
          </w:rPr>
          <w:t>Newfoundland (Treasury Board) v. N.A.P.E., [200</w:t>
        </w:r>
        <w:r w:rsidRPr="00AF2257">
          <w:rPr>
            <w:rStyle w:val="Hyperlink"/>
            <w:rFonts w:ascii="Calibri" w:hAnsi="Calibri" w:cs="Segoe UI"/>
            <w:sz w:val="22"/>
            <w:szCs w:val="22"/>
          </w:rPr>
          <w:t>4</w:t>
        </w:r>
        <w:r w:rsidRPr="00AF2257">
          <w:rPr>
            <w:rStyle w:val="Hyperlink"/>
            <w:rFonts w:ascii="Calibri" w:hAnsi="Calibri" w:cs="Segoe UI"/>
            <w:sz w:val="22"/>
            <w:szCs w:val="22"/>
          </w:rPr>
          <w:t>] 3 SCR</w:t>
        </w:r>
        <w:r w:rsidRPr="00AF2257">
          <w:rPr>
            <w:rStyle w:val="Hyperlink"/>
            <w:rFonts w:ascii="Calibri" w:hAnsi="Calibri" w:cs="Segoe UI"/>
            <w:sz w:val="22"/>
            <w:szCs w:val="22"/>
          </w:rPr>
          <w:t xml:space="preserve"> </w:t>
        </w:r>
        <w:r w:rsidRPr="00AF2257">
          <w:rPr>
            <w:rStyle w:val="Hyperlink"/>
            <w:rFonts w:ascii="Calibri" w:hAnsi="Calibri" w:cs="Segoe UI"/>
            <w:sz w:val="22"/>
            <w:szCs w:val="22"/>
          </w:rPr>
          <w:t>381, 2004 SCC 66</w:t>
        </w:r>
      </w:hyperlink>
    </w:p>
    <w:p w:rsidR="00AF2257" w:rsidP="00AF2257" w:rsidRDefault="00AF2257" w14:paraId="367B18C6" w14:textId="03C8C96F">
      <w:pPr>
        <w:pStyle w:val="paragraph"/>
        <w:textAlignment w:val="baseline"/>
        <w:rPr>
          <w:rStyle w:val="eop"/>
          <w:rFonts w:ascii="Calibri" w:hAnsi="Calibri" w:cs="Segoe UI"/>
          <w:color w:val="000000"/>
          <w:sz w:val="22"/>
          <w:szCs w:val="22"/>
        </w:rPr>
      </w:pPr>
      <w:hyperlink w:history="1" r:id="rId11">
        <w:r w:rsidRPr="00AF2257">
          <w:rPr>
            <w:rStyle w:val="Hyperlink"/>
            <w:rFonts w:ascii="Calibri" w:hAnsi="Calibri" w:cs="Segoe UI"/>
            <w:sz w:val="22"/>
            <w:szCs w:val="22"/>
          </w:rPr>
          <w:t xml:space="preserve">Centrale des </w:t>
        </w:r>
        <w:proofErr w:type="spellStart"/>
        <w:r w:rsidRPr="00AF2257">
          <w:rPr>
            <w:rStyle w:val="Hyperlink"/>
            <w:rFonts w:ascii="Calibri" w:hAnsi="Calibri" w:cs="Segoe UI"/>
            <w:sz w:val="22"/>
            <w:szCs w:val="22"/>
          </w:rPr>
          <w:t>syndicats</w:t>
        </w:r>
        <w:proofErr w:type="spellEnd"/>
        <w:r w:rsidRPr="00AF2257">
          <w:rPr>
            <w:rStyle w:val="Hyperlink"/>
            <w:rFonts w:ascii="Calibri" w:hAnsi="Calibri" w:cs="Segoe UI"/>
            <w:sz w:val="22"/>
            <w:szCs w:val="22"/>
          </w:rPr>
          <w:t xml:space="preserve"> du Québec v. Quebec (Attorney General), 2018 SCC 18, [2018] 1 SCR 522</w:t>
        </w:r>
      </w:hyperlink>
    </w:p>
    <w:p w:rsidR="00B2455F" w:rsidP="00AF2257" w:rsidRDefault="00B2455F" w14:paraId="179446F8" w14:textId="054801C1">
      <w:pPr>
        <w:pStyle w:val="paragraph"/>
        <w:textAlignment w:val="baseline"/>
        <w:rPr>
          <w:rStyle w:val="eop"/>
          <w:rFonts w:ascii="Calibri" w:hAnsi="Calibri" w:cs="Segoe UI"/>
          <w:color w:val="000000"/>
          <w:sz w:val="22"/>
          <w:szCs w:val="22"/>
        </w:rPr>
      </w:pPr>
      <w:hyperlink r:id="R54ef6afcfe654bbe">
        <w:r w:rsidRPr="6084E14F" w:rsidR="00B2455F">
          <w:rPr>
            <w:rStyle w:val="Hyperlink"/>
            <w:rFonts w:ascii="Calibri" w:hAnsi="Calibri" w:cs="Segoe UI"/>
            <w:sz w:val="22"/>
            <w:szCs w:val="22"/>
          </w:rPr>
          <w:t>Hak</w:t>
        </w:r>
        <w:r w:rsidRPr="6084E14F" w:rsidR="00B2455F">
          <w:rPr>
            <w:rStyle w:val="Hyperlink"/>
            <w:rFonts w:ascii="Calibri" w:hAnsi="Calibri" w:cs="Segoe UI"/>
            <w:sz w:val="22"/>
            <w:szCs w:val="22"/>
          </w:rPr>
          <w:t xml:space="preserve"> c. </w:t>
        </w:r>
        <w:r w:rsidRPr="6084E14F" w:rsidR="00B2455F">
          <w:rPr>
            <w:rStyle w:val="Hyperlink"/>
            <w:rFonts w:ascii="Calibri" w:hAnsi="Calibri" w:cs="Segoe UI"/>
            <w:sz w:val="22"/>
            <w:szCs w:val="22"/>
          </w:rPr>
          <w:t>Procureure</w:t>
        </w:r>
        <w:r w:rsidRPr="6084E14F" w:rsidR="00B2455F">
          <w:rPr>
            <w:rStyle w:val="Hyperlink"/>
            <w:rFonts w:ascii="Calibri" w:hAnsi="Calibri" w:cs="Segoe UI"/>
            <w:sz w:val="22"/>
            <w:szCs w:val="22"/>
          </w:rPr>
          <w:t xml:space="preserve"> </w:t>
        </w:r>
        <w:r w:rsidRPr="6084E14F" w:rsidR="00B2455F">
          <w:rPr>
            <w:rStyle w:val="Hyperlink"/>
            <w:rFonts w:ascii="Calibri" w:hAnsi="Calibri" w:cs="Segoe UI"/>
            <w:sz w:val="22"/>
            <w:szCs w:val="22"/>
          </w:rPr>
          <w:t>générale</w:t>
        </w:r>
        <w:r w:rsidRPr="6084E14F" w:rsidR="00B2455F">
          <w:rPr>
            <w:rStyle w:val="Hyperlink"/>
            <w:rFonts w:ascii="Calibri" w:hAnsi="Calibri" w:cs="Segoe UI"/>
            <w:sz w:val="22"/>
            <w:szCs w:val="22"/>
          </w:rPr>
          <w:t xml:space="preserve"> du Québec, 2019 QCCS 2989</w:t>
        </w:r>
        <w:r>
          <w:br/>
        </w:r>
      </w:hyperlink>
    </w:p>
    <w:p w:rsidR="00AF2257" w:rsidP="663A615D" w:rsidRDefault="00AF2257" w14:paraId="69774445" w14:textId="406CFF4A">
      <w:pPr>
        <w:pStyle w:val="paragraph"/>
        <w:rPr>
          <w:rStyle w:val="eop"/>
          <w:rFonts w:ascii="Calibri" w:hAnsi="Calibri" w:cs="Segoe UI"/>
          <w:color w:val="000000" w:themeColor="text1" w:themeTint="FF" w:themeShade="FF"/>
          <w:sz w:val="22"/>
          <w:szCs w:val="22"/>
        </w:rPr>
      </w:pPr>
      <w:r w:rsidRPr="663A615D" w:rsidR="00AF2257">
        <w:rPr>
          <w:rStyle w:val="eop"/>
          <w:rFonts w:ascii="Calibri" w:hAnsi="Calibri" w:cs="Segoe UI"/>
          <w:color w:val="000000" w:themeColor="text1" w:themeTint="FF" w:themeShade="FF"/>
          <w:sz w:val="22"/>
          <w:szCs w:val="22"/>
        </w:rPr>
        <w:t>Kerri</w:t>
      </w:r>
      <w:r w:rsidRPr="663A615D" w:rsidR="08ED83E5">
        <w:rPr>
          <w:rStyle w:val="eop"/>
          <w:rFonts w:ascii="Calibri" w:hAnsi="Calibri" w:cs="Segoe UI"/>
          <w:color w:val="000000" w:themeColor="text1" w:themeTint="FF" w:themeShade="FF"/>
          <w:sz w:val="22"/>
          <w:szCs w:val="22"/>
        </w:rPr>
        <w:t xml:space="preserve"> Froc</w:t>
      </w:r>
      <w:r w:rsidRPr="663A615D" w:rsidR="00AF2257">
        <w:rPr>
          <w:rStyle w:val="eop"/>
          <w:rFonts w:ascii="Calibri" w:hAnsi="Calibri" w:cs="Segoe UI"/>
          <w:color w:val="000000" w:themeColor="text1" w:themeTint="FF" w:themeShade="FF"/>
          <w:sz w:val="22"/>
          <w:szCs w:val="22"/>
        </w:rPr>
        <w:t>’s new article:</w:t>
      </w:r>
    </w:p>
    <w:p w:rsidRPr="00AF2257" w:rsidR="00AF2257" w:rsidP="00AF2257" w:rsidRDefault="00AF2257" w14:paraId="0E2CDE30" w14:textId="67F7DCD3">
      <w:pPr>
        <w:pStyle w:val="paragraph"/>
        <w:textAlignment w:val="baseline"/>
        <w:rPr>
          <w:rStyle w:val="eop"/>
          <w:rFonts w:ascii="Calibri" w:hAnsi="Calibri" w:cs="Segoe UI"/>
          <w:color w:val="000000"/>
          <w:sz w:val="22"/>
          <w:szCs w:val="22"/>
        </w:rPr>
      </w:pPr>
      <w:proofErr w:type="spellStart"/>
      <w:r w:rsidRPr="3AA1E90A" w:rsidR="00AF2257">
        <w:rPr>
          <w:rStyle w:val="eop"/>
          <w:rFonts w:ascii="Calibri" w:hAnsi="Calibri" w:cs="Segoe UI"/>
          <w:color w:val="000000" w:themeColor="text1" w:themeTint="FF" w:themeShade="FF"/>
          <w:sz w:val="22"/>
          <w:szCs w:val="22"/>
        </w:rPr>
        <w:t>Froc</w:t>
      </w:r>
      <w:proofErr w:type="spellEnd"/>
      <w:r w:rsidRPr="3AA1E90A" w:rsidR="00AF2257">
        <w:rPr>
          <w:rStyle w:val="eop"/>
          <w:rFonts w:ascii="Calibri" w:hAnsi="Calibri" w:cs="Segoe UI"/>
          <w:color w:val="000000" w:themeColor="text1" w:themeTint="FF" w:themeShade="FF"/>
          <w:sz w:val="22"/>
          <w:szCs w:val="22"/>
        </w:rPr>
        <w:t xml:space="preserve">, Kerri, A Law in Rupture: Section 28, Equal Rights, and the Constitutionality of Québec's Bill 21 Religious Symbols Ban (July 24, 2022). "The Surprising Constitution," edited by Howard </w:t>
      </w:r>
      <w:proofErr w:type="spellStart"/>
      <w:r w:rsidRPr="3AA1E90A" w:rsidR="00AF2257">
        <w:rPr>
          <w:rStyle w:val="eop"/>
          <w:rFonts w:ascii="Calibri" w:hAnsi="Calibri" w:cs="Segoe UI"/>
          <w:color w:val="000000" w:themeColor="text1" w:themeTint="FF" w:themeShade="FF"/>
          <w:sz w:val="22"/>
          <w:szCs w:val="22"/>
        </w:rPr>
        <w:t>Kislowicz</w:t>
      </w:r>
      <w:proofErr w:type="spellEnd"/>
      <w:r w:rsidRPr="3AA1E90A" w:rsidR="00AF2257">
        <w:rPr>
          <w:rStyle w:val="eop"/>
          <w:rFonts w:ascii="Calibri" w:hAnsi="Calibri" w:cs="Segoe UI"/>
          <w:color w:val="000000" w:themeColor="text1" w:themeTint="FF" w:themeShade="FF"/>
          <w:sz w:val="22"/>
          <w:szCs w:val="22"/>
        </w:rPr>
        <w:t xml:space="preserve">, Richard Moon and Kerri </w:t>
      </w:r>
      <w:proofErr w:type="spellStart"/>
      <w:r w:rsidRPr="3AA1E90A" w:rsidR="00AF2257">
        <w:rPr>
          <w:rStyle w:val="eop"/>
          <w:rFonts w:ascii="Calibri" w:hAnsi="Calibri" w:cs="Segoe UI"/>
          <w:color w:val="000000" w:themeColor="text1" w:themeTint="FF" w:themeShade="FF"/>
          <w:sz w:val="22"/>
          <w:szCs w:val="22"/>
        </w:rPr>
        <w:t>Froc</w:t>
      </w:r>
      <w:proofErr w:type="spellEnd"/>
      <w:r w:rsidRPr="3AA1E90A" w:rsidR="00AF2257">
        <w:rPr>
          <w:rStyle w:val="eop"/>
          <w:rFonts w:ascii="Calibri" w:hAnsi="Calibri" w:cs="Segoe UI"/>
          <w:color w:val="000000" w:themeColor="text1" w:themeTint="FF" w:themeShade="FF"/>
          <w:sz w:val="22"/>
          <w:szCs w:val="22"/>
        </w:rPr>
        <w:t>.</w:t>
      </w:r>
      <w:r w:rsidRPr="3AA1E90A" w:rsidR="00AF2257">
        <w:rPr>
          <w:rStyle w:val="eop"/>
          <w:rFonts w:ascii="Calibri" w:hAnsi="Calibri" w:cs="Segoe UI"/>
          <w:color w:val="000000" w:themeColor="text1" w:themeTint="FF" w:themeShade="FF"/>
          <w:sz w:val="22"/>
          <w:szCs w:val="22"/>
        </w:rPr>
        <w:t xml:space="preserve"> </w:t>
      </w:r>
      <w:hyperlink r:id="Rcf9a3394491f4ffe">
        <w:r w:rsidRPr="3AA1E90A" w:rsidR="00AF2257">
          <w:rPr>
            <w:rStyle w:val="Hyperlink"/>
            <w:rFonts w:ascii="Calibri" w:hAnsi="Calibri" w:cs="Segoe UI"/>
            <w:sz w:val="22"/>
            <w:szCs w:val="22"/>
          </w:rPr>
          <w:t>https://papers.ssrn.com/sol3/papers.cfm?abstract_id=4171256</w:t>
        </w:r>
        <w:r>
          <w:br/>
        </w:r>
        <w:r>
          <w:br/>
        </w:r>
      </w:hyperlink>
      <w:r w:rsidRPr="3AA1E90A" w:rsidR="45EBE727">
        <w:rPr>
          <w:rStyle w:val="eop"/>
          <w:rFonts w:ascii="Calibri" w:hAnsi="Calibri" w:cs="Segoe UI"/>
          <w:color w:val="000000" w:themeColor="text1" w:themeTint="FF" w:themeShade="FF"/>
          <w:sz w:val="22"/>
          <w:szCs w:val="22"/>
        </w:rPr>
        <w:t xml:space="preserve">NAWL </w:t>
      </w:r>
      <w:r w:rsidRPr="3AA1E90A" w:rsidR="00AF2257">
        <w:rPr>
          <w:rStyle w:val="eop"/>
          <w:rFonts w:ascii="Calibri" w:hAnsi="Calibri" w:cs="Segoe UI"/>
          <w:color w:val="000000" w:themeColor="text1" w:themeTint="FF" w:themeShade="FF"/>
          <w:sz w:val="22"/>
          <w:szCs w:val="22"/>
        </w:rPr>
        <w:t>Feminist Law Reform 101</w:t>
      </w:r>
      <w:r w:rsidRPr="3AA1E90A" w:rsidR="6D68E9EB">
        <w:rPr>
          <w:rStyle w:val="eop"/>
          <w:rFonts w:ascii="Calibri" w:hAnsi="Calibri" w:cs="Segoe UI"/>
          <w:color w:val="000000" w:themeColor="text1" w:themeTint="FF" w:themeShade="FF"/>
          <w:sz w:val="22"/>
          <w:szCs w:val="22"/>
        </w:rPr>
        <w:t xml:space="preserve"> Course</w:t>
      </w:r>
      <w:r w:rsidRPr="3AA1E90A" w:rsidR="00AF2257">
        <w:rPr>
          <w:rStyle w:val="eop"/>
          <w:rFonts w:ascii="Calibri" w:hAnsi="Calibri" w:cs="Segoe UI"/>
          <w:color w:val="000000" w:themeColor="text1" w:themeTint="FF" w:themeShade="FF"/>
          <w:sz w:val="22"/>
          <w:szCs w:val="22"/>
        </w:rPr>
        <w:t>:</w:t>
      </w:r>
    </w:p>
    <w:p w:rsidR="00AF2257" w:rsidP="00AF2257" w:rsidRDefault="00AF2257" w14:paraId="0C048BE4" w14:textId="01951E3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hyperlink w:history="1" r:id="rId14">
        <w:r w:rsidRPr="00AF2257">
          <w:rPr>
            <w:rStyle w:val="Hyperlink"/>
            <w:rFonts w:ascii="Calibri" w:hAnsi="Calibri" w:cs="Segoe UI"/>
            <w:sz w:val="22"/>
            <w:szCs w:val="22"/>
          </w:rPr>
          <w:t>https://nawl.ca/feminist-law-reform-101/ </w:t>
        </w:r>
      </w:hyperlink>
      <w:r>
        <w:rPr>
          <w:rStyle w:val="eop"/>
          <w:rFonts w:ascii="Calibri" w:hAnsi="Calibri" w:cs="Segoe UI"/>
          <w:color w:val="000000"/>
          <w:sz w:val="22"/>
          <w:szCs w:val="22"/>
        </w:rPr>
        <w:br/>
      </w:r>
      <w:r>
        <w:rPr>
          <w:rStyle w:val="eop"/>
          <w:rFonts w:ascii="Calibri" w:hAnsi="Calibri" w:cs="Segoe UI"/>
          <w:color w:val="000000"/>
          <w:sz w:val="22"/>
          <w:szCs w:val="22"/>
        </w:rPr>
        <w:br/>
      </w:r>
    </w:p>
    <w:p w:rsidR="00AF2257" w:rsidP="00AF2257" w:rsidRDefault="00AF2257" w14:paraId="70711D6D" w14:textId="58C61B8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2F5496"/>
          <w:sz w:val="32"/>
          <w:szCs w:val="32"/>
        </w:rPr>
        <w:t>About the Asper Centre </w:t>
      </w:r>
      <w:r>
        <w:rPr>
          <w:rStyle w:val="eop"/>
          <w:rFonts w:ascii="Calibri" w:hAnsi="Calibri" w:cs="Segoe UI"/>
          <w:color w:val="2F5496"/>
          <w:sz w:val="32"/>
          <w:szCs w:val="32"/>
        </w:rPr>
        <w:t> </w:t>
      </w:r>
    </w:p>
    <w:p w:rsidR="00AF2257" w:rsidP="00AF2257" w:rsidRDefault="00AF2257" w14:paraId="3E82D3A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The </w:t>
      </w:r>
      <w:hyperlink w:tgtFrame="_blank" w:history="1" r:id="rId15">
        <w:r>
          <w:rPr>
            <w:rStyle w:val="normaltextrun"/>
            <w:rFonts w:ascii="Calibri" w:hAnsi="Calibri" w:cs="Segoe UI"/>
            <w:color w:val="0563C1"/>
            <w:sz w:val="22"/>
            <w:szCs w:val="22"/>
          </w:rPr>
          <w:t>Asper Centre</w:t>
        </w:r>
      </w:hyperlink>
      <w:r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, a part of the </w:t>
      </w:r>
      <w:hyperlink w:tgtFrame="_blank" w:history="1" r:id="rId16">
        <w:r>
          <w:rPr>
            <w:rStyle w:val="normaltextrun"/>
            <w:rFonts w:ascii="Calibri" w:hAnsi="Calibri" w:cs="Segoe UI"/>
            <w:color w:val="0563C1"/>
            <w:sz w:val="22"/>
            <w:szCs w:val="22"/>
          </w:rPr>
          <w:t>University of Toronto’s Faculty of Law</w:t>
        </w:r>
      </w:hyperlink>
      <w:r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 since 2008, is devoted to realizing constitutional rights through advocacy, research and education. The Centre aims to play a vital role in articulating Canada’s constitutional vision to the broader world. The cornerstone of the Centre is a legal clinic that brings together students, faculty and members of the bar to work on significant constitutional cases and advocacy initiatives. The Centre was established through a generous gift from U of T law alumnus </w:t>
      </w:r>
      <w:hyperlink w:tgtFrame="_blank" w:history="1" r:id="rId17">
        <w:r>
          <w:rPr>
            <w:rStyle w:val="normaltextrun"/>
            <w:rFonts w:ascii="Calibri" w:hAnsi="Calibri" w:cs="Segoe UI"/>
            <w:color w:val="000000"/>
            <w:sz w:val="22"/>
            <w:szCs w:val="22"/>
          </w:rPr>
          <w:t>David Asper </w:t>
        </w:r>
      </w:hyperlink>
      <w:r>
        <w:rPr>
          <w:rStyle w:val="normaltextrun"/>
          <w:rFonts w:ascii="Calibri" w:hAnsi="Calibri" w:cs="Segoe UI"/>
          <w:color w:val="000000"/>
          <w:sz w:val="22"/>
          <w:szCs w:val="22"/>
        </w:rPr>
        <w:t>(LLM ’07). </w:t>
      </w:r>
      <w:r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:rsidR="00AF2257" w:rsidP="00AF2257" w:rsidRDefault="00AF2257" w14:paraId="3BFDE39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color w:val="2F5496"/>
          <w:sz w:val="32"/>
          <w:szCs w:val="32"/>
        </w:rPr>
        <w:t> </w:t>
      </w:r>
    </w:p>
    <w:p w:rsidR="00AF2257" w:rsidP="00AF2257" w:rsidRDefault="00AF2257" w14:paraId="160FF2D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2F5496"/>
          <w:sz w:val="32"/>
          <w:szCs w:val="32"/>
        </w:rPr>
        <w:t xml:space="preserve">Thank </w:t>
      </w:r>
      <w:proofErr w:type="spellStart"/>
      <w:r>
        <w:rPr>
          <w:rStyle w:val="normaltextrun"/>
          <w:rFonts w:ascii="Calibri" w:hAnsi="Calibri" w:cs="Segoe UI"/>
          <w:color w:val="2F5496"/>
          <w:sz w:val="32"/>
          <w:szCs w:val="32"/>
        </w:rPr>
        <w:t>You’s</w:t>
      </w:r>
      <w:proofErr w:type="spellEnd"/>
      <w:r>
        <w:rPr>
          <w:rStyle w:val="eop"/>
          <w:rFonts w:ascii="Calibri" w:hAnsi="Calibri" w:cs="Segoe UI"/>
          <w:color w:val="2F5496"/>
          <w:sz w:val="32"/>
          <w:szCs w:val="32"/>
        </w:rPr>
        <w:t> </w:t>
      </w:r>
    </w:p>
    <w:p w:rsidR="00AF2257" w:rsidP="00AF2257" w:rsidRDefault="00AF2257" w14:paraId="7CE4E32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AF2257" w:rsidP="22EF370E" w:rsidRDefault="00AF2257" w14:paraId="73EBF57C" w14:textId="77777777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="00AF225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 xml:space="preserve">Charter: A Course is proudly sponsored by the University of Toronto’s affinity partner</w:t>
      </w:r>
      <w:r w:rsidR="00AF225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 xml:space="preserve"> </w:t>
      </w:r>
      <w:r w:rsidR="00AF2257">
        <w:rPr>
          <w:rStyle w:val="normaltextrun"/>
          <w:rFonts w:ascii="Calibri" w:hAnsi="Calibri" w:cs="Segoe UI"/>
          <w:b w:val="1"/>
          <w:bCs w:val="1"/>
          <w:color w:val="000000"/>
          <w:sz w:val="22"/>
          <w:szCs w:val="22"/>
          <w:shd w:val="clear" w:color="auto" w:fill="FFFFFF"/>
        </w:rPr>
        <w:t>TD Insurance.</w:t>
      </w:r>
      <w:r w:rsidR="00AF225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 xml:space="preserve"> </w:t>
      </w:r>
      <w:bookmarkStart w:name="_Int_FU7waYbg" w:id="28180472"/>
      <w:r w:rsidR="00AF225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 xml:space="preserve">We would like to thank our sponsor, and you can discover the benefits of affinity products at </w:t>
      </w:r>
      <w:hyperlink w:tgtFrame="_blank" w:history="1" r:id="Re8545996dc4e4173">
        <w:r w:rsidR="00AF2257">
          <w:rPr>
            <w:rStyle w:val="normaltextrun"/>
            <w:rFonts w:ascii="Calibri" w:hAnsi="Calibri" w:cs="Segoe UI"/>
            <w:color w:val="0000FF"/>
            <w:sz w:val="22"/>
            <w:szCs w:val="22"/>
            <w:shd w:val="clear" w:color="auto" w:fill="FFFFFF"/>
          </w:rPr>
          <w:t>bit.ly/affinity-offers</w:t>
        </w:r>
      </w:hyperlink>
      <w:r w:rsidR="00AF225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>.</w:t>
      </w:r>
      <w:bookmarkEnd w:id="28180472"/>
      <w:r w:rsidR="00AF225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> </w:t>
      </w:r>
      <w:r w:rsidR="00AF2257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:rsidR="22EF370E" w:rsidP="22EF370E" w:rsidRDefault="22EF370E" w14:paraId="6B38D7FF" w14:textId="39F7C922">
      <w:pPr>
        <w:pStyle w:val="paragraph"/>
        <w:spacing w:before="0" w:beforeAutospacing="off" w:after="0" w:afterAutospacing="off"/>
        <w:rPr>
          <w:rStyle w:val="eop"/>
          <w:rFonts w:ascii="Calibri" w:hAnsi="Calibri" w:cs="Segoe UI"/>
          <w:color w:val="000000" w:themeColor="text1" w:themeTint="FF" w:themeShade="FF"/>
          <w:sz w:val="22"/>
          <w:szCs w:val="22"/>
        </w:rPr>
      </w:pPr>
    </w:p>
    <w:p w:rsidR="00AF2257" w:rsidP="663A615D" w:rsidRDefault="00AF2257" w14:paraId="3E358278" w14:textId="77777777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bookmarkStart w:name="_Int_w4nWDOOQ" w:id="1343150041"/>
      <w:r w:rsidR="00AF225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>We would like to thank the creators of our theme music for Charter: A Course.</w:t>
      </w:r>
      <w:bookmarkEnd w:id="1343150041"/>
      <w:r w:rsidR="00AF225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> Constitutional law professor Howie </w:t>
      </w:r>
      <w:proofErr w:type="spellStart"/>
      <w:r w:rsidR="00AF225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>Kislowicz</w:t>
      </w:r>
      <w:proofErr w:type="spellEnd"/>
      <w:r w:rsidR="00AF225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 xml:space="preserve"> and law professor Rob Currie gave us the licence to use their constitutional law shanty in exchange for a donation to the Calgary Food Bank. The song’s performers </w:t>
      </w:r>
      <w:proofErr w:type="gramStart"/>
      <w:r w:rsidR="00AF225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>are:</w:t>
      </w:r>
      <w:proofErr w:type="gramEnd"/>
      <w:r w:rsidR="00AF225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 xml:space="preserve"> Vanessa Carroll, Rob Currie, Howie </w:t>
      </w:r>
      <w:proofErr w:type="spellStart"/>
      <w:r w:rsidR="00AF225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>Kislowicz</w:t>
      </w:r>
      <w:proofErr w:type="spellEnd"/>
      <w:r w:rsidR="00AF225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 xml:space="preserve">, </w:t>
      </w:r>
      <w:r w:rsidR="00AF225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>Avinash</w:t>
      </w:r>
      <w:r w:rsidR="00AF225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 xml:space="preserve"> </w:t>
      </w:r>
      <w:r w:rsidR="00AF225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>Kowshik</w:t>
      </w:r>
      <w:r w:rsidR="00AF225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 xml:space="preserve">, Anna Lund, Patricia Paradis, Elin </w:t>
      </w:r>
      <w:r w:rsidR="00AF225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>Sigurdson</w:t>
      </w:r>
      <w:r w:rsidR="00AF225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 xml:space="preserve">, Lyle Skinner, and Dave Wright. You can listen to the entire shanty here: </w:t>
      </w:r>
      <w:hyperlink w:tgtFrame="_blank" w:history="1" r:id="Re291a20e9e0d4622">
        <w:r w:rsidR="00AF2257">
          <w:rPr>
            <w:rStyle w:val="normaltextrun"/>
            <w:rFonts w:ascii="Calibri" w:hAnsi="Calibri" w:cs="Segoe UI"/>
            <w:color w:val="0563C1"/>
            <w:sz w:val="22"/>
            <w:szCs w:val="22"/>
            <w:shd w:val="clear" w:color="auto" w:fill="FFFFFF"/>
          </w:rPr>
          <w:t xml:space="preserve">Charter </w:t>
        </w:r>
        <w:r w:rsidR="00AF2257">
          <w:rPr>
            <w:rStyle w:val="normaltextrun"/>
            <w:rFonts w:ascii="Calibri" w:hAnsi="Calibri" w:cs="Segoe UI"/>
            <w:color w:val="0563C1"/>
            <w:sz w:val="22"/>
            <w:szCs w:val="22"/>
            <w:shd w:val="clear" w:color="auto" w:fill="FFFFFF"/>
          </w:rPr>
          <w:t>a</w:t>
        </w:r>
        <w:r w:rsidR="00AF2257">
          <w:rPr>
            <w:rStyle w:val="normaltextrun"/>
            <w:rFonts w:ascii="Calibri" w:hAnsi="Calibri" w:cs="Segoe UI"/>
            <w:color w:val="0563C1"/>
            <w:sz w:val="22"/>
            <w:szCs w:val="22"/>
            <w:shd w:val="clear" w:color="auto" w:fill="FFFFFF"/>
          </w:rPr>
          <w:t xml:space="preserve"> Course</w:t>
        </w:r>
      </w:hyperlink>
      <w:r w:rsidR="00AF225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>.  Please consider contributing to your local food bank! </w:t>
      </w:r>
      <w:r w:rsidR="00AF2257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:rsidR="00AF2257" w:rsidP="00AF2257" w:rsidRDefault="00AF2257" w14:paraId="25DB092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AF2257" w:rsidP="22EF370E" w:rsidRDefault="00AF2257" w14:paraId="5EFA71DC" w14:textId="74E0DA99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="00AF2257">
        <w:rPr>
          <w:rStyle w:val="normaltextrun"/>
          <w:rFonts w:ascii="Calibri" w:hAnsi="Calibri" w:cs="Segoe UI"/>
          <w:color w:val="000000"/>
          <w:shd w:val="clear" w:color="auto" w:fill="FFFFFF"/>
        </w:rPr>
        <w:t xml:space="preserve">Thank you to </w:t>
      </w:r>
      <w:r w:rsidR="11C35CDB">
        <w:rPr>
          <w:rStyle w:val="normaltextrun"/>
          <w:rFonts w:ascii="Calibri" w:hAnsi="Calibri" w:cs="Segoe UI"/>
          <w:color w:val="000000"/>
          <w:shd w:val="clear" w:color="auto" w:fill="FFFFFF"/>
        </w:rPr>
        <w:t xml:space="preserve">Kathryn Mullins, </w:t>
      </w:r>
      <w:r w:rsidR="00AF2257">
        <w:rPr>
          <w:rStyle w:val="normaltextrun"/>
          <w:rFonts w:ascii="Calibri" w:hAnsi="Calibri" w:cs="Segoe UI"/>
          <w:color w:val="000000"/>
          <w:shd w:val="clear" w:color="auto" w:fill="FFFFFF"/>
        </w:rPr>
        <w:t>JD student at the University of Toronto Faculty of Law</w:t>
      </w:r>
      <w:r w:rsidR="7AE264BF">
        <w:rPr>
          <w:rStyle w:val="normaltextrun"/>
          <w:rFonts w:ascii="Calibri" w:hAnsi="Calibri" w:cs="Segoe UI"/>
          <w:color w:val="000000"/>
          <w:shd w:val="clear" w:color="auto" w:fill="FFFFFF"/>
        </w:rPr>
        <w:t xml:space="preserve"> and Asper Centre Summer Research Assistant</w:t>
      </w:r>
      <w:r w:rsidR="00AF2257">
        <w:rPr>
          <w:rStyle w:val="normaltextrun"/>
          <w:rFonts w:ascii="Calibri" w:hAnsi="Calibri" w:cs="Segoe UI"/>
          <w:color w:val="000000"/>
          <w:shd w:val="clear" w:color="auto" w:fill="FFFFFF"/>
        </w:rPr>
        <w:t>, for h</w:t>
      </w:r>
      <w:r w:rsidR="1CFAD956">
        <w:rPr>
          <w:rStyle w:val="normaltextrun"/>
          <w:rFonts w:ascii="Calibri" w:hAnsi="Calibri" w:cs="Segoe UI"/>
          <w:color w:val="000000"/>
          <w:shd w:val="clear" w:color="auto" w:fill="FFFFFF"/>
        </w:rPr>
        <w:t>er</w:t>
      </w:r>
      <w:r w:rsidR="00AF2257">
        <w:rPr>
          <w:rStyle w:val="normaltextrun"/>
          <w:rFonts w:ascii="Calibri" w:hAnsi="Calibri" w:cs="Segoe UI"/>
          <w:color w:val="000000"/>
          <w:shd w:val="clear" w:color="auto" w:fill="FFFFFF"/>
        </w:rPr>
        <w:t xml:space="preserve"> contributions to the production of this episode. </w:t>
      </w:r>
      <w:r w:rsidR="00AF2257">
        <w:rPr>
          <w:rStyle w:val="eop"/>
          <w:rFonts w:ascii="Calibri" w:hAnsi="Calibri" w:cs="Segoe UI"/>
          <w:color w:val="000000"/>
        </w:rPr>
        <w:t> </w:t>
      </w:r>
    </w:p>
    <w:p w:rsidR="00AF2257" w:rsidP="00AF2257" w:rsidRDefault="00AF2257" w14:paraId="48EEDF3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hd w:val="clear" w:color="auto" w:fill="FFFFFF"/>
        </w:rPr>
        <w:t> </w:t>
      </w:r>
      <w:r>
        <w:rPr>
          <w:rStyle w:val="eop"/>
          <w:rFonts w:ascii="Calibri" w:hAnsi="Calibri" w:cs="Segoe UI"/>
          <w:color w:val="000000"/>
        </w:rPr>
        <w:t> </w:t>
      </w:r>
    </w:p>
    <w:p w:rsidR="00AF2257" w:rsidP="00AF2257" w:rsidRDefault="00AF2257" w14:paraId="0EF5EFBD" w14:textId="58CE4DC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hd w:val="clear" w:color="auto" w:fill="FFFFFF"/>
        </w:rPr>
        <w:t xml:space="preserve">Thank you to our wonderful guests on this episode, </w:t>
      </w:r>
      <w:r>
        <w:rPr>
          <w:rStyle w:val="normaltextrun"/>
          <w:rFonts w:ascii="Calibri" w:hAnsi="Calibri" w:cs="Segoe UI"/>
          <w:color w:val="000000"/>
          <w:shd w:val="clear" w:color="auto" w:fill="FFFFFF"/>
        </w:rPr>
        <w:t xml:space="preserve">Professors Kerri </w:t>
      </w:r>
      <w:proofErr w:type="spellStart"/>
      <w:r>
        <w:rPr>
          <w:rStyle w:val="normaltextrun"/>
          <w:rFonts w:ascii="Calibri" w:hAnsi="Calibri" w:cs="Segoe UI"/>
          <w:color w:val="000000"/>
          <w:shd w:val="clear" w:color="auto" w:fill="FFFFFF"/>
        </w:rPr>
        <w:t>Froc</w:t>
      </w:r>
      <w:proofErr w:type="spellEnd"/>
      <w:r>
        <w:rPr>
          <w:rStyle w:val="normaltextrun"/>
          <w:rFonts w:ascii="Calibri" w:hAnsi="Calibri" w:cs="Segoe UI"/>
          <w:color w:val="000000"/>
          <w:shd w:val="clear" w:color="auto" w:fill="FFFFFF"/>
        </w:rPr>
        <w:t xml:space="preserve"> and Martha Jackman</w:t>
      </w:r>
      <w:r>
        <w:rPr>
          <w:rStyle w:val="normaltextrun"/>
          <w:rFonts w:ascii="Calibri" w:hAnsi="Calibri" w:cs="Segoe UI"/>
          <w:color w:val="000000"/>
          <w:shd w:val="clear" w:color="auto" w:fill="FFFFFF"/>
        </w:rPr>
        <w:t>!</w:t>
      </w:r>
      <w:r>
        <w:rPr>
          <w:rStyle w:val="eop"/>
          <w:rFonts w:ascii="Calibri" w:hAnsi="Calibri" w:cs="Segoe UI"/>
          <w:color w:val="000000"/>
        </w:rPr>
        <w:t> </w:t>
      </w:r>
    </w:p>
    <w:p w:rsidR="00AF2257" w:rsidP="00AF2257" w:rsidRDefault="00AF2257" w14:paraId="0BFAE65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AF2257" w:rsidP="00AF2257" w:rsidRDefault="00AF2257" w14:paraId="3362CEA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hd w:val="clear" w:color="auto" w:fill="FFFFFF"/>
        </w:rPr>
        <w:t xml:space="preserve">Thank you to our audio editor Liam Morrison of </w:t>
      </w:r>
      <w:hyperlink w:tgtFrame="_blank" w:history="1" r:id="rId21">
        <w:r>
          <w:rPr>
            <w:rStyle w:val="normaltextrun"/>
            <w:rFonts w:ascii="Calibri" w:hAnsi="Calibri" w:cs="Segoe UI"/>
            <w:color w:val="0563C1"/>
            <w:shd w:val="clear" w:color="auto" w:fill="FFFFFF"/>
          </w:rPr>
          <w:t>Bell Room Media Solutions</w:t>
        </w:r>
      </w:hyperlink>
      <w:r>
        <w:rPr>
          <w:rStyle w:val="normaltextrun"/>
          <w:rFonts w:ascii="Calibri" w:hAnsi="Calibri" w:cs="Segoe UI"/>
          <w:color w:val="000000"/>
          <w:shd w:val="clear" w:color="auto" w:fill="FFFFFF"/>
        </w:rPr>
        <w:t>. </w:t>
      </w:r>
      <w:r>
        <w:rPr>
          <w:rStyle w:val="eop"/>
          <w:rFonts w:ascii="Calibri" w:hAnsi="Calibri" w:cs="Segoe UI"/>
          <w:color w:val="000000"/>
        </w:rPr>
        <w:t> </w:t>
      </w:r>
    </w:p>
    <w:p w:rsidR="00AF2257" w:rsidP="00AF2257" w:rsidRDefault="00AF2257" w14:paraId="709DAD1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Pr="00AF2257" w:rsidR="00A924EC" w:rsidP="22EF370E" w:rsidRDefault="00AF2257" w14:paraId="23E53818" w14:textId="0FC0F82A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="00AF2257">
        <w:rPr>
          <w:rStyle w:val="normaltextrun"/>
          <w:rFonts w:ascii="Calibri" w:hAnsi="Calibri" w:cs="Segoe UI"/>
          <w:color w:val="000000"/>
          <w:shd w:val="clear" w:color="auto" w:fill="FFFFFF"/>
        </w:rPr>
        <w:t xml:space="preserve">Lastly, we are very grateful to you, our listeners, for taking the time to join us on as we </w:t>
      </w:r>
      <w:r w:rsidR="652A71B3">
        <w:rPr>
          <w:rStyle w:val="normaltextrun"/>
          <w:rFonts w:ascii="Calibri" w:hAnsi="Calibri" w:cs="Segoe UI"/>
          <w:color w:val="000000"/>
          <w:shd w:val="clear" w:color="auto" w:fill="FFFFFF"/>
        </w:rPr>
        <w:t>continue to C</w:t>
      </w:r>
      <w:r w:rsidR="00AF2257">
        <w:rPr>
          <w:rStyle w:val="normaltextrun"/>
          <w:rFonts w:ascii="Calibri" w:hAnsi="Calibri" w:cs="Segoe UI"/>
          <w:color w:val="000000"/>
          <w:shd w:val="clear" w:color="auto" w:fill="FFFFFF"/>
        </w:rPr>
        <w:t>harter a course into podcasting! </w:t>
      </w:r>
      <w:r w:rsidR="00AF2257">
        <w:rPr>
          <w:rStyle w:val="eop"/>
          <w:rFonts w:ascii="Calibri" w:hAnsi="Calibri" w:cs="Segoe UI"/>
          <w:color w:val="000000"/>
        </w:rPr>
        <w:t> </w:t>
      </w:r>
    </w:p>
    <w:sectPr w:rsidRPr="00AF2257" w:rsidR="00A924EC" w:rsidSect="00F93A5C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FU7waYbg" int2:invalidationBookmarkName="" int2:hashCode="Hx2FIEcz0ug1zd" int2:id="QJgx3wK0">
      <int2:state int2:type="WordDesignerPullQuotesAnnotation" int2:value="Reviewed"/>
    </int2:bookmark>
    <int2:bookmark int2:bookmarkName="_Int_w4nWDOOQ" int2:invalidationBookmarkName="" int2:hashCode="g576EKRwURbs3R" int2:id="tSCZvDGt">
      <int2:state int2:type="WordDesignerPullQuotesAnnotation" int2:value="Reviewed"/>
    </int2:bookmark>
  </int2:observations>
  <int2:intelligenceSetting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257"/>
    <w:rsid w:val="00213304"/>
    <w:rsid w:val="00AF2257"/>
    <w:rsid w:val="00B2455F"/>
    <w:rsid w:val="00EC1EF0"/>
    <w:rsid w:val="00F93A5C"/>
    <w:rsid w:val="08ED83E5"/>
    <w:rsid w:val="11C35CDB"/>
    <w:rsid w:val="19569BB4"/>
    <w:rsid w:val="1CFAD956"/>
    <w:rsid w:val="22EF370E"/>
    <w:rsid w:val="2403A3C6"/>
    <w:rsid w:val="28612375"/>
    <w:rsid w:val="31C96AFF"/>
    <w:rsid w:val="3AA1E90A"/>
    <w:rsid w:val="42278D2F"/>
    <w:rsid w:val="45EBE727"/>
    <w:rsid w:val="4AB96E95"/>
    <w:rsid w:val="59CB848D"/>
    <w:rsid w:val="5C5F032E"/>
    <w:rsid w:val="6084E14F"/>
    <w:rsid w:val="652A71B3"/>
    <w:rsid w:val="663A615D"/>
    <w:rsid w:val="6C9A9588"/>
    <w:rsid w:val="6D43E8BB"/>
    <w:rsid w:val="6D68E9EB"/>
    <w:rsid w:val="76F6A3D4"/>
    <w:rsid w:val="7AE2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B54B87"/>
  <w15:chartTrackingRefBased/>
  <w15:docId w15:val="{92B5BA6B-E88E-354D-913E-4D91030AEE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AF2257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AF2257"/>
  </w:style>
  <w:style w:type="character" w:styleId="eop" w:customStyle="1">
    <w:name w:val="eop"/>
    <w:basedOn w:val="DefaultParagraphFont"/>
    <w:rsid w:val="00AF2257"/>
  </w:style>
  <w:style w:type="character" w:styleId="Hyperlink">
    <w:name w:val="Hyperlink"/>
    <w:basedOn w:val="DefaultParagraphFont"/>
    <w:uiPriority w:val="99"/>
    <w:unhideWhenUsed/>
    <w:rsid w:val="00AF22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22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22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0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cc-csc.lexum.com/scc-csc/scc-csc/en/item/656/index.do" TargetMode="External" Id="rId8" /><Relationship Type="http://schemas.openxmlformats.org/officeDocument/2006/relationships/webSettings" Target="webSettings.xml" Id="rId3" /><Relationship Type="http://schemas.openxmlformats.org/officeDocument/2006/relationships/hyperlink" Target="http://www.bellroom.media/" TargetMode="External" Id="rId21" /><Relationship Type="http://schemas.openxmlformats.org/officeDocument/2006/relationships/hyperlink" Target="https://scc-csc.lexum.com/scc-csc/scc-csc/en/item/407/index.do" TargetMode="External" Id="rId7" /><Relationship Type="http://schemas.openxmlformats.org/officeDocument/2006/relationships/hyperlink" Target="https://aspercentre.ca/who-we-are-2/our-donor/" TargetMode="External" Id="rId17" /><Relationship Type="http://schemas.openxmlformats.org/officeDocument/2006/relationships/settings" Target="settings.xml" Id="rId2" /><Relationship Type="http://schemas.openxmlformats.org/officeDocument/2006/relationships/hyperlink" Target="http://law.utoronto.ca/" TargetMode="External" Id="rId16" /><Relationship Type="http://schemas.openxmlformats.org/officeDocument/2006/relationships/styles" Target="styles.xml" Id="rId1" /><Relationship Type="http://schemas.openxmlformats.org/officeDocument/2006/relationships/hyperlink" Target="https://scc-csc.lexum.com/scc-csc/scc-csc/en/item/5261/index.do" TargetMode="External" Id="rId6" /><Relationship Type="http://schemas.openxmlformats.org/officeDocument/2006/relationships/hyperlink" Target="https://scc-csc.lexum.com/scc-csc/scc-csc/en/item/17078/index.do" TargetMode="External" Id="rId11" /><Relationship Type="http://schemas.openxmlformats.org/officeDocument/2006/relationships/hyperlink" Target="https://scc-csc.lexum.com/scc-csc/scc-csc/en/item/2645/index.do" TargetMode="External" Id="rId5" /><Relationship Type="http://schemas.openxmlformats.org/officeDocument/2006/relationships/hyperlink" Target="http://www.aspercentre.ca/" TargetMode="External" Id="rId15" /><Relationship Type="http://schemas.openxmlformats.org/officeDocument/2006/relationships/theme" Target="theme/theme1.xml" Id="rId23" /><Relationship Type="http://schemas.openxmlformats.org/officeDocument/2006/relationships/hyperlink" Target="https://scc-csc.lexum.com/scc-csc/scc-csc/en/item/2182/index.do" TargetMode="External" Id="rId10" /><Relationship Type="http://schemas.openxmlformats.org/officeDocument/2006/relationships/hyperlink" Target="https://aspercentre.ca/who-we-are-2/our-staff/" TargetMode="External" Id="rId4" /><Relationship Type="http://schemas.openxmlformats.org/officeDocument/2006/relationships/hyperlink" Target="https://www.canlii.org/en/on/onca/doc/1986/1986canlii145/1986canlii145.html?autocompleteStr=blainey&amp;autocompletePos=1" TargetMode="External" Id="rId9" /><Relationship Type="http://schemas.openxmlformats.org/officeDocument/2006/relationships/hyperlink" Target="https://nawl.ca/feminist-law-reform-101/" TargetMode="External" Id="rId14" /><Relationship Type="http://schemas.openxmlformats.org/officeDocument/2006/relationships/fontTable" Target="fontTable.xml" Id="rId22" /><Relationship Type="http://schemas.openxmlformats.org/officeDocument/2006/relationships/hyperlink" Target="https://www.canlii.org/fr/qc/qccs/doc/2019/2019qccs2989/2019qccs2989.html" TargetMode="External" Id="R54ef6afcfe654bbe" /><Relationship Type="http://schemas.openxmlformats.org/officeDocument/2006/relationships/hyperlink" Target="https://www.unb.ca/faculty-staff/directory/law/froc-kerri.html" TargetMode="External" Id="R7c33b3653fa14c41" /><Relationship Type="http://schemas.openxmlformats.org/officeDocument/2006/relationships/hyperlink" Target="https://www2.uottawa.ca/faculty-law/common-law/faculty/jackman-martha" TargetMode="External" Id="R7b8ce296dc704888" /><Relationship Type="http://schemas.openxmlformats.org/officeDocument/2006/relationships/hyperlink" Target="https://aspercentre.ca/wp-content/uploads/2022/09/S2E1-Section-28-Transcript.pdf" TargetMode="External" Id="R16d72c5628454858" /><Relationship Type="http://schemas.openxmlformats.org/officeDocument/2006/relationships/hyperlink" Target="https://papers.ssrn.com/sol3/papers.cfm?abstract_id=4171256" TargetMode="External" Id="Rcf9a3394491f4ffe" /><Relationship Type="http://schemas.openxmlformats.org/officeDocument/2006/relationships/hyperlink" Target="https://utoronto-my.sharepoint.com/personal/cheryl_milne_utoronto_ca/Documents/Asper%20Centre%20General/Projects/Podcast%20-%20PIllar%20Sponsorship/Show%20Notes/bit.ly/affinity-offers" TargetMode="External" Id="Re8545996dc4e4173" /><Relationship Type="http://schemas.openxmlformats.org/officeDocument/2006/relationships/hyperlink" Target="https://www.youtube.com/watch?v=gO8Jf2j2Qg4" TargetMode="External" Id="Re291a20e9e0d4622" /><Relationship Type="http://schemas.microsoft.com/office/2020/10/relationships/intelligence" Target="intelligence2.xml" Id="Rc2e98e8a8c90446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Kathryn Mullins</dc:creator>
  <keywords/>
  <dc:description/>
  <lastModifiedBy>Tal Schreier</lastModifiedBy>
  <revision>6</revision>
  <dcterms:created xsi:type="dcterms:W3CDTF">2022-07-27T20:26:00.0000000Z</dcterms:created>
  <dcterms:modified xsi:type="dcterms:W3CDTF">2022-09-21T01:23:03.3051497Z</dcterms:modified>
</coreProperties>
</file>