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7B4A8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</w:pPr>
      <w:r w:rsidRPr="22EF370E">
        <w:rPr>
          <w:rStyle w:val="normaltextrun"/>
          <w:rFonts w:ascii="Calibri" w:hAnsi="Calibri" w:cs="Segoe UI"/>
          <w:color w:val="365F91" w:themeColor="accent1" w:themeShade="BF"/>
          <w:sz w:val="32"/>
          <w:szCs w:val="32"/>
        </w:rPr>
        <w:t>Charter: A Course</w:t>
      </w:r>
      <w:r w:rsidRPr="22EF370E"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  <w:t> </w:t>
      </w:r>
    </w:p>
    <w:p w14:paraId="548A86E4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22"/>
          <w:szCs w:val="22"/>
        </w:rPr>
        <w:t>A podcast about Canadian Constitutional Law &amp; Litigation</w:t>
      </w:r>
      <w:r>
        <w:rPr>
          <w:rStyle w:val="eop"/>
          <w:rFonts w:ascii="Calibri" w:hAnsi="Calibri" w:cs="Segoe UI"/>
          <w:color w:val="2F5496"/>
          <w:sz w:val="22"/>
          <w:szCs w:val="22"/>
        </w:rPr>
        <w:t> </w:t>
      </w:r>
    </w:p>
    <w:p w14:paraId="6165CE64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19ABABF2" w14:textId="7F36A6C3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22EF370E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 xml:space="preserve">Season </w:t>
      </w:r>
      <w:r w:rsidR="00BA09A8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>3</w:t>
      </w:r>
      <w:r w:rsidRPr="22EF370E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 xml:space="preserve">, Episode </w:t>
      </w:r>
      <w:r w:rsidR="00E15250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>3</w:t>
      </w:r>
      <w:r w:rsidRPr="22EF370E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 xml:space="preserve">: </w:t>
      </w:r>
      <w:r w:rsidR="00E15250">
        <w:rPr>
          <w:rStyle w:val="normaltextrun"/>
          <w:rFonts w:ascii="Calibri" w:hAnsi="Calibri" w:cs="Segoe UI"/>
          <w:b/>
          <w:bCs/>
          <w:i/>
          <w:iCs/>
          <w:color w:val="000000" w:themeColor="text1"/>
          <w:sz w:val="28"/>
          <w:szCs w:val="28"/>
        </w:rPr>
        <w:t>Charter Values</w:t>
      </w:r>
      <w:r w:rsidRPr="22EF370E">
        <w:rPr>
          <w:rStyle w:val="eop"/>
          <w:rFonts w:ascii="Calibri" w:hAnsi="Calibri" w:cs="Segoe UI"/>
          <w:color w:val="000000" w:themeColor="text1"/>
          <w:sz w:val="28"/>
          <w:szCs w:val="28"/>
        </w:rPr>
        <w:t> </w:t>
      </w:r>
    </w:p>
    <w:p w14:paraId="69F01FAE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>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3BFC3BF7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About the Series 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56953FD5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36BEA4B2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Charter: A Course is a podcast created by the David Asper Centre for Constitutional Rights (the Asper Centre) and hosted by the Asper Centre’s Executive Director </w:t>
      </w:r>
      <w:hyperlink r:id="rId8" w:tgtFrame="_blank" w:history="1">
        <w:r w:rsidRPr="00AF2257">
          <w:rPr>
            <w:rStyle w:val="normaltextrun"/>
            <w:rFonts w:ascii="Calibri" w:hAnsi="Calibri" w:cs="Segoe UI"/>
            <w:color w:val="0563C1"/>
            <w:sz w:val="22"/>
            <w:szCs w:val="22"/>
            <w:u w:val="single"/>
          </w:rPr>
          <w:t>Cheryl Milne</w:t>
        </w:r>
      </w:hyperlink>
      <w:r w:rsidRPr="00AF2257">
        <w:rPr>
          <w:rStyle w:val="normaltextrun"/>
          <w:color w:val="000000"/>
          <w:u w:val="single"/>
        </w:rPr>
        <w:t>.</w:t>
      </w:r>
      <w:r>
        <w:rPr>
          <w:rStyle w:val="normaltextrun"/>
          <w:color w:val="000000"/>
        </w:rPr>
        <w:t> </w:t>
      </w:r>
      <w:r>
        <w:rPr>
          <w:rStyle w:val="eop"/>
          <w:color w:val="000000"/>
        </w:rPr>
        <w:t> </w:t>
      </w:r>
    </w:p>
    <w:p w14:paraId="4AC12418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color w:val="000000"/>
        </w:rPr>
        <w:t> </w:t>
      </w:r>
    </w:p>
    <w:p w14:paraId="38331F49" w14:textId="3A711134" w:rsidR="00466077" w:rsidRDefault="006C2D46" w:rsidP="10F63C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Charter: A Course focuses on 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leading Canadian constitutional cases and current constitutional law issues, highlighting strategic aspects of constitutional litigation and exploring what it’s like to practice in this area of law in our </w:t>
      </w:r>
      <w:r w:rsidR="00466077" w:rsidRPr="10F63C52">
        <w:rPr>
          <w:rStyle w:val="normaltextrun"/>
          <w:rFonts w:ascii="Calibri" w:hAnsi="Calibri" w:cs="Segoe UI"/>
          <w:i/>
          <w:iCs/>
          <w:color w:val="000000" w:themeColor="text1"/>
          <w:sz w:val="22"/>
          <w:szCs w:val="22"/>
        </w:rPr>
        <w:t>Practice Corner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segment.   </w:t>
      </w:r>
    </w:p>
    <w:p w14:paraId="7B090559" w14:textId="77777777" w:rsidR="00466077" w:rsidRDefault="00466077" w:rsidP="006C2D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</w:p>
    <w:p w14:paraId="12AC69E8" w14:textId="6D6BC782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color w:val="000000"/>
          <w:sz w:val="22"/>
          <w:szCs w:val="22"/>
        </w:rPr>
      </w:pPr>
      <w:r w:rsidRPr="7F37B404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Whether you are a law student, a lawyer, or just an interested person, we hope that you learn about an aspect of constitutional law and litigation that interests you in our podcast.</w:t>
      </w:r>
      <w:r w:rsidRPr="7F37B404">
        <w:rPr>
          <w:rStyle w:val="eop"/>
          <w:rFonts w:ascii="Calibri" w:hAnsi="Calibri" w:cs="Segoe UI"/>
          <w:color w:val="000000" w:themeColor="text1"/>
          <w:sz w:val="22"/>
          <w:szCs w:val="22"/>
        </w:rPr>
        <w:t> </w:t>
      </w:r>
    </w:p>
    <w:p w14:paraId="780AAA97" w14:textId="77777777" w:rsidR="00BA09A8" w:rsidRDefault="006C2D46" w:rsidP="00BA09A8">
      <w:pPr>
        <w:pStyle w:val="NormalWeb"/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</w:pPr>
      <w:r w:rsidRPr="7F37B404">
        <w:rPr>
          <w:rStyle w:val="normaltextrun"/>
          <w:rFonts w:ascii="Calibri" w:hAnsi="Calibri" w:cs="Segoe UI"/>
          <w:color w:val="365F91" w:themeColor="accent1" w:themeShade="BF"/>
          <w:sz w:val="32"/>
          <w:szCs w:val="32"/>
        </w:rPr>
        <w:t>Show Notes </w:t>
      </w:r>
      <w:r w:rsidRPr="7F37B404">
        <w:rPr>
          <w:rStyle w:val="eop"/>
          <w:rFonts w:ascii="Calibri" w:hAnsi="Calibri" w:cs="Segoe UI"/>
          <w:color w:val="365F91" w:themeColor="accent1" w:themeShade="BF"/>
          <w:sz w:val="32"/>
          <w:szCs w:val="32"/>
        </w:rPr>
        <w:t> </w:t>
      </w:r>
    </w:p>
    <w:p w14:paraId="4B916FAD" w14:textId="0C679656" w:rsidR="00FA31A5" w:rsidRDefault="4AA7E598" w:rsidP="00FA31A5">
      <w:pPr>
        <w:rPr>
          <w:rStyle w:val="normaltextrun"/>
          <w:rFonts w:asciiTheme="majorHAnsi" w:hAnsiTheme="majorHAnsi" w:cstheme="majorHAnsi"/>
          <w:color w:val="000000" w:themeColor="text1"/>
        </w:rPr>
      </w:pPr>
      <w:r w:rsidRPr="00FA43FC">
        <w:rPr>
          <w:rStyle w:val="normaltextrun"/>
          <w:rFonts w:asciiTheme="majorHAnsi" w:hAnsiTheme="majorHAnsi" w:cstheme="majorHAnsi"/>
          <w:color w:val="000000" w:themeColor="text1"/>
        </w:rPr>
        <w:t xml:space="preserve">This episode focuses on </w:t>
      </w:r>
      <w:r w:rsidR="00FA43FC" w:rsidRPr="00FA43FC">
        <w:rPr>
          <w:rStyle w:val="normaltextrun"/>
          <w:rFonts w:asciiTheme="majorHAnsi" w:hAnsiTheme="majorHAnsi" w:cstheme="majorHAnsi"/>
          <w:color w:val="000000" w:themeColor="text1"/>
        </w:rPr>
        <w:t>Charter values</w:t>
      </w:r>
      <w:r w:rsidR="00D846FA">
        <w:rPr>
          <w:rStyle w:val="normaltextrun"/>
          <w:rFonts w:asciiTheme="majorHAnsi" w:hAnsiTheme="majorHAnsi" w:cstheme="majorHAnsi"/>
          <w:color w:val="000000" w:themeColor="text1"/>
        </w:rPr>
        <w:t xml:space="preserve">, which in </w:t>
      </w:r>
      <w:r w:rsidR="00FA31A5">
        <w:rPr>
          <w:rStyle w:val="normaltextrun"/>
          <w:rFonts w:asciiTheme="majorHAnsi" w:hAnsiTheme="majorHAnsi" w:cstheme="majorHAnsi"/>
          <w:color w:val="000000" w:themeColor="text1"/>
        </w:rPr>
        <w:t xml:space="preserve">recent years </w:t>
      </w:r>
      <w:r w:rsidR="00D846FA">
        <w:rPr>
          <w:rStyle w:val="normaltextrun"/>
          <w:rFonts w:asciiTheme="majorHAnsi" w:hAnsiTheme="majorHAnsi" w:cstheme="majorHAnsi"/>
          <w:color w:val="000000" w:themeColor="text1"/>
        </w:rPr>
        <w:t>have gained some traction in Canadian law</w:t>
      </w:r>
      <w:r w:rsidR="00FA43FC" w:rsidRPr="00FA43FC">
        <w:rPr>
          <w:rStyle w:val="normaltextrun"/>
          <w:rFonts w:asciiTheme="majorHAnsi" w:hAnsiTheme="majorHAnsi" w:cstheme="majorHAnsi"/>
          <w:color w:val="000000" w:themeColor="text1"/>
        </w:rPr>
        <w:t xml:space="preserve">. With the help of our guest, </w:t>
      </w:r>
      <w:hyperlink r:id="rId9" w:history="1">
        <w:r w:rsidR="00FA43FC" w:rsidRPr="00FA43FC">
          <w:rPr>
            <w:rStyle w:val="Hyperlink"/>
            <w:rFonts w:asciiTheme="majorHAnsi" w:hAnsiTheme="majorHAnsi" w:cstheme="majorHAnsi"/>
          </w:rPr>
          <w:t>Prof Richard Stacey</w:t>
        </w:r>
      </w:hyperlink>
      <w:r w:rsidR="00FA43FC" w:rsidRPr="00FA43FC">
        <w:rPr>
          <w:rStyle w:val="normaltextrun"/>
          <w:rFonts w:asciiTheme="majorHAnsi" w:hAnsiTheme="majorHAnsi" w:cstheme="majorHAnsi"/>
          <w:color w:val="000000" w:themeColor="text1"/>
        </w:rPr>
        <w:t xml:space="preserve">, we examine how courts have sought to define </w:t>
      </w:r>
      <w:r w:rsidR="00D846FA">
        <w:rPr>
          <w:rStyle w:val="normaltextrun"/>
          <w:rFonts w:asciiTheme="majorHAnsi" w:hAnsiTheme="majorHAnsi" w:cstheme="majorHAnsi"/>
          <w:color w:val="000000" w:themeColor="text1"/>
        </w:rPr>
        <w:t>C</w:t>
      </w:r>
      <w:r w:rsidR="00FA43FC" w:rsidRPr="00FA43FC">
        <w:rPr>
          <w:rStyle w:val="normaltextrun"/>
          <w:rFonts w:asciiTheme="majorHAnsi" w:hAnsiTheme="majorHAnsi" w:cstheme="majorHAnsi"/>
          <w:color w:val="000000" w:themeColor="text1"/>
        </w:rPr>
        <w:t>harter values and in what judicial context they arise. We explore when courts are obligated to consider these values and consider the challenges associated with doing so.</w:t>
      </w:r>
      <w:r w:rsidR="00FA31A5">
        <w:rPr>
          <w:rStyle w:val="normaltextrun"/>
          <w:rFonts w:asciiTheme="majorHAnsi" w:hAnsiTheme="majorHAnsi" w:cstheme="majorHAnsi"/>
          <w:color w:val="000000" w:themeColor="text1"/>
        </w:rPr>
        <w:t xml:space="preserve"> </w:t>
      </w:r>
    </w:p>
    <w:p w14:paraId="23454FE4" w14:textId="45B1A846" w:rsidR="20A730B4" w:rsidRPr="00FA43FC" w:rsidRDefault="20A730B4" w:rsidP="00FA31A5">
      <w:pPr>
        <w:rPr>
          <w:rStyle w:val="normaltextrun"/>
          <w:rFonts w:asciiTheme="majorHAnsi" w:hAnsiTheme="majorHAnsi" w:cstheme="majorHAnsi"/>
          <w:color w:val="000000" w:themeColor="text1"/>
        </w:rPr>
      </w:pPr>
      <w:r w:rsidRPr="435659A8">
        <w:rPr>
          <w:rStyle w:val="normaltextrun"/>
          <w:rFonts w:ascii="Calibri" w:hAnsi="Calibri" w:cs="Segoe UI"/>
          <w:color w:val="000000" w:themeColor="text1"/>
        </w:rPr>
        <w:t>In th</w:t>
      </w:r>
      <w:r w:rsidR="00E12DED" w:rsidRPr="435659A8">
        <w:rPr>
          <w:rStyle w:val="normaltextrun"/>
          <w:rFonts w:ascii="Calibri" w:hAnsi="Calibri" w:cs="Segoe UI"/>
          <w:color w:val="000000" w:themeColor="text1"/>
        </w:rPr>
        <w:t xml:space="preserve">is episode’s </w:t>
      </w:r>
      <w:r w:rsidR="7D03D023" w:rsidRPr="435659A8">
        <w:rPr>
          <w:rStyle w:val="normaltextrun"/>
          <w:rFonts w:ascii="Calibri" w:hAnsi="Calibri" w:cs="Segoe UI"/>
          <w:i/>
          <w:iCs/>
          <w:color w:val="000000" w:themeColor="text1"/>
        </w:rPr>
        <w:t>P</w:t>
      </w:r>
      <w:r w:rsidRPr="435659A8">
        <w:rPr>
          <w:rStyle w:val="normaltextrun"/>
          <w:rFonts w:ascii="Calibri" w:hAnsi="Calibri" w:cs="Segoe UI"/>
          <w:i/>
          <w:iCs/>
          <w:color w:val="000000" w:themeColor="text1"/>
        </w:rPr>
        <w:t xml:space="preserve">ractice </w:t>
      </w:r>
      <w:r w:rsidR="3DB00721" w:rsidRPr="435659A8">
        <w:rPr>
          <w:rStyle w:val="normaltextrun"/>
          <w:rFonts w:ascii="Calibri" w:hAnsi="Calibri" w:cs="Segoe UI"/>
          <w:i/>
          <w:iCs/>
          <w:color w:val="000000" w:themeColor="text1"/>
        </w:rPr>
        <w:t>C</w:t>
      </w:r>
      <w:r w:rsidRPr="435659A8">
        <w:rPr>
          <w:rStyle w:val="normaltextrun"/>
          <w:rFonts w:ascii="Calibri" w:hAnsi="Calibri" w:cs="Segoe UI"/>
          <w:i/>
          <w:iCs/>
          <w:color w:val="000000" w:themeColor="text1"/>
        </w:rPr>
        <w:t>orner</w:t>
      </w:r>
      <w:r w:rsidRPr="435659A8">
        <w:rPr>
          <w:rStyle w:val="normaltextrun"/>
          <w:rFonts w:ascii="Calibri" w:hAnsi="Calibri" w:cs="Segoe UI"/>
          <w:color w:val="000000" w:themeColor="text1"/>
        </w:rPr>
        <w:t>, we speak with lawye</w:t>
      </w:r>
      <w:r w:rsidR="00FA43FC">
        <w:rPr>
          <w:rStyle w:val="normaltextrun"/>
          <w:rFonts w:ascii="Calibri" w:hAnsi="Calibri" w:cs="Segoe UI"/>
          <w:color w:val="000000" w:themeColor="text1"/>
        </w:rPr>
        <w:t xml:space="preserve">r </w:t>
      </w:r>
      <w:hyperlink r:id="rId10" w:history="1">
        <w:r w:rsidR="00FA43FC" w:rsidRPr="00FA43FC">
          <w:rPr>
            <w:rStyle w:val="Hyperlink"/>
            <w:rFonts w:ascii="Calibri" w:hAnsi="Calibri" w:cs="Segoe UI"/>
          </w:rPr>
          <w:t>Matthew Horner</w:t>
        </w:r>
      </w:hyperlink>
      <w:r w:rsidR="00FA43FC">
        <w:rPr>
          <w:rStyle w:val="normaltextrun"/>
          <w:rFonts w:ascii="Calibri" w:hAnsi="Calibri" w:cs="Segoe UI"/>
          <w:color w:val="000000" w:themeColor="text1"/>
        </w:rPr>
        <w:t xml:space="preserve">, </w:t>
      </w:r>
      <w:r w:rsidR="00FA43FC" w:rsidRPr="00FA43FC">
        <w:rPr>
          <w:rFonts w:asciiTheme="majorHAnsi" w:hAnsiTheme="majorHAnsi" w:cstheme="majorHAnsi"/>
        </w:rPr>
        <w:t xml:space="preserve">on his experiences of practicing in the area of administrative law, where Charter values </w:t>
      </w:r>
      <w:r w:rsidR="00FA43FC" w:rsidRPr="0027795D">
        <w:rPr>
          <w:rFonts w:asciiTheme="majorHAnsi" w:hAnsiTheme="majorHAnsi" w:cstheme="majorHAnsi"/>
          <w:i/>
          <w:iCs/>
        </w:rPr>
        <w:t>sometimes</w:t>
      </w:r>
      <w:r w:rsidR="00FA43FC" w:rsidRPr="00FA43FC">
        <w:rPr>
          <w:rFonts w:asciiTheme="majorHAnsi" w:hAnsiTheme="majorHAnsi" w:cstheme="majorHAnsi"/>
        </w:rPr>
        <w:t xml:space="preserve"> find their home.</w:t>
      </w:r>
    </w:p>
    <w:p w14:paraId="1D502316" w14:textId="534D2094" w:rsidR="46175BEE" w:rsidRDefault="00FA43FC" w:rsidP="435659A8">
      <w:pPr>
        <w:pStyle w:val="NormalWeb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F</w:t>
      </w:r>
      <w:r w:rsidR="46175BEE" w:rsidRPr="435659A8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ind a FULL transcript of this episode </w:t>
      </w:r>
      <w:hyperlink r:id="rId11" w:history="1">
        <w:r w:rsidR="46175BEE" w:rsidRPr="00275547">
          <w:rPr>
            <w:rStyle w:val="Hyperlink"/>
            <w:rFonts w:ascii="Calibri" w:hAnsi="Calibri" w:cs="Segoe UI"/>
            <w:sz w:val="22"/>
            <w:szCs w:val="22"/>
          </w:rPr>
          <w:t>HERE</w:t>
        </w:r>
      </w:hyperlink>
      <w:r w:rsidR="46175BEE" w:rsidRPr="435659A8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.</w:t>
      </w:r>
    </w:p>
    <w:p w14:paraId="32D76A62" w14:textId="44D0596B" w:rsidR="006C2D46" w:rsidRDefault="006C2D46" w:rsidP="00BA09A8">
      <w:pPr>
        <w:pStyle w:val="paragraph"/>
        <w:spacing w:before="0" w:beforeAutospacing="0" w:after="0" w:afterAutospacing="0"/>
        <w:jc w:val="both"/>
        <w:rPr>
          <w:rStyle w:val="eop"/>
          <w:rFonts w:ascii="Calibri" w:hAnsi="Calibri" w:cs="Segoe UI"/>
          <w:color w:val="2F5496"/>
          <w:sz w:val="32"/>
          <w:szCs w:val="32"/>
        </w:rPr>
      </w:pPr>
      <w:r w:rsidRPr="662382AE">
        <w:rPr>
          <w:rStyle w:val="normaltextrun"/>
          <w:rFonts w:ascii="Calibri" w:hAnsi="Calibri" w:cs="Segoe UI"/>
          <w:color w:val="2F5496"/>
          <w:sz w:val="32"/>
          <w:szCs w:val="32"/>
        </w:rPr>
        <w:t>Case Links</w:t>
      </w:r>
      <w:r w:rsidRPr="662382AE">
        <w:rPr>
          <w:rStyle w:val="eop"/>
          <w:rFonts w:ascii="Calibri" w:hAnsi="Calibri" w:cs="Segoe UI"/>
          <w:color w:val="2F5496"/>
          <w:sz w:val="32"/>
          <w:szCs w:val="32"/>
        </w:rPr>
        <w:t> </w:t>
      </w:r>
      <w:r w:rsidR="59327B84" w:rsidRPr="662382AE">
        <w:rPr>
          <w:rStyle w:val="eop"/>
          <w:rFonts w:ascii="Calibri" w:hAnsi="Calibri" w:cs="Segoe UI"/>
          <w:color w:val="2F5496"/>
          <w:sz w:val="32"/>
          <w:szCs w:val="32"/>
        </w:rPr>
        <w:t>and other Resources</w:t>
      </w:r>
    </w:p>
    <w:p w14:paraId="74DB62DF" w14:textId="77777777" w:rsidR="00E12DED" w:rsidRDefault="00E12DED" w:rsidP="00BA09A8">
      <w:pPr>
        <w:pStyle w:val="paragraph"/>
        <w:spacing w:before="0" w:beforeAutospacing="0" w:after="0" w:afterAutospacing="0"/>
        <w:jc w:val="both"/>
        <w:rPr>
          <w:rFonts w:ascii="Segoe UI" w:hAnsi="Segoe UI" w:cs="Segoe UI"/>
          <w:sz w:val="18"/>
          <w:szCs w:val="18"/>
        </w:rPr>
      </w:pPr>
    </w:p>
    <w:p w14:paraId="67FEAEF8" w14:textId="4482C44F" w:rsidR="00A479B3" w:rsidRPr="00A479B3" w:rsidRDefault="006C2D46" w:rsidP="00BA09A8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 w:themeColor="text1"/>
          <w:sz w:val="22"/>
          <w:szCs w:val="22"/>
        </w:rPr>
      </w:pPr>
      <w:r w:rsidRPr="662382AE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In </w:t>
      </w:r>
      <w:r w:rsidR="00387FE3" w:rsidRPr="662382AE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this</w:t>
      </w:r>
      <w:r w:rsidRPr="662382AE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episode, the following cases</w:t>
      </w:r>
      <w:r w:rsidR="0027795D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, </w:t>
      </w:r>
      <w:proofErr w:type="gramStart"/>
      <w:r w:rsidR="0027795D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factum</w:t>
      </w:r>
      <w:proofErr w:type="gramEnd"/>
      <w:r w:rsidR="00271D44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and paper</w:t>
      </w:r>
      <w:r w:rsidR="00DF1F0C" w:rsidRPr="662382AE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r w:rsidRPr="662382AE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were</w:t>
      </w:r>
      <w:r w:rsidR="0DB8E316" w:rsidRPr="662382AE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discussed:</w:t>
      </w:r>
    </w:p>
    <w:p w14:paraId="11400D53" w14:textId="1BDCEDB1" w:rsidR="00A479B3" w:rsidRPr="00A479B3" w:rsidRDefault="00A479B3" w:rsidP="00BA09A8">
      <w:pPr>
        <w:pStyle w:val="paragraph"/>
        <w:spacing w:before="0" w:beforeAutospacing="0" w:after="0" w:afterAutospacing="0"/>
        <w:textAlignment w:val="baseline"/>
        <w:rPr>
          <w:rFonts w:ascii="Open Sans" w:eastAsia="Open Sans" w:hAnsi="Open Sans" w:cs="Open Sans"/>
          <w:color w:val="212529"/>
          <w:sz w:val="21"/>
          <w:szCs w:val="21"/>
        </w:rPr>
      </w:pPr>
    </w:p>
    <w:p w14:paraId="4571507B" w14:textId="29B0295F" w:rsidR="00FA43FC" w:rsidRDefault="00000000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pacing w:val="-3"/>
          <w:sz w:val="22"/>
          <w:szCs w:val="22"/>
        </w:rPr>
      </w:pPr>
      <w:hyperlink r:id="rId12" w:history="1">
        <w:r w:rsidR="008606CF" w:rsidRPr="008606CF">
          <w:rPr>
            <w:rStyle w:val="Hyperlink"/>
            <w:rFonts w:asciiTheme="majorHAnsi" w:hAnsiTheme="majorHAnsi" w:cstheme="majorHAnsi"/>
            <w:spacing w:val="-3"/>
            <w:sz w:val="22"/>
            <w:szCs w:val="22"/>
          </w:rPr>
          <w:t>R. </w:t>
        </w:r>
        <w:r w:rsidR="008606CF" w:rsidRPr="008606CF">
          <w:rPr>
            <w:rStyle w:val="Hyperlink"/>
            <w:rFonts w:asciiTheme="majorHAnsi" w:hAnsiTheme="majorHAnsi" w:cstheme="majorHAnsi"/>
            <w:i/>
            <w:iCs/>
            <w:spacing w:val="-3"/>
            <w:sz w:val="22"/>
            <w:szCs w:val="22"/>
          </w:rPr>
          <w:t>v. </w:t>
        </w:r>
        <w:r w:rsidR="008606CF" w:rsidRPr="008606CF">
          <w:rPr>
            <w:rStyle w:val="Hyperlink"/>
            <w:rFonts w:asciiTheme="majorHAnsi" w:hAnsiTheme="majorHAnsi" w:cstheme="majorHAnsi"/>
            <w:spacing w:val="-3"/>
            <w:sz w:val="22"/>
            <w:szCs w:val="22"/>
          </w:rPr>
          <w:t>Oakes, [1986] 1 S.C.R. 103</w:t>
        </w:r>
      </w:hyperlink>
    </w:p>
    <w:p w14:paraId="7C6C10C9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pacing w:val="-3"/>
          <w:sz w:val="22"/>
          <w:szCs w:val="22"/>
        </w:rPr>
      </w:pPr>
    </w:p>
    <w:p w14:paraId="6757E61C" w14:textId="38D4E1F9" w:rsidR="004B2E7C" w:rsidRDefault="00000000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hyperlink r:id="rId13" w:history="1"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Reference re Secession of Quebec, [1998] 2 S.C.R. 217</w:t>
        </w:r>
      </w:hyperlink>
    </w:p>
    <w:p w14:paraId="5D20E076" w14:textId="27780B09" w:rsidR="004B2E7C" w:rsidRPr="004B2E7C" w:rsidRDefault="004B2E7C" w:rsidP="006C2D46">
      <w:pPr>
        <w:pStyle w:val="paragraph"/>
        <w:spacing w:before="0" w:beforeAutospacing="0" w:after="0" w:afterAutospacing="0"/>
        <w:textAlignment w:val="baseline"/>
        <w:rPr>
          <w:rStyle w:val="Hyperlink"/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fldChar w:fldCharType="begin"/>
      </w:r>
      <w:r>
        <w:rPr>
          <w:rFonts w:asciiTheme="majorHAnsi" w:hAnsiTheme="majorHAnsi" w:cstheme="majorHAnsi"/>
          <w:color w:val="000000"/>
          <w:sz w:val="22"/>
          <w:szCs w:val="22"/>
        </w:rPr>
        <w:instrText>HYPERLINK "https://scc-csc.lexum.com/scc-csc/scc-csc/en/item/19011/index.do"</w:instrText>
      </w:r>
      <w:r>
        <w:rPr>
          <w:rFonts w:asciiTheme="majorHAnsi" w:hAnsiTheme="majorHAnsi" w:cstheme="majorHAnsi"/>
          <w:color w:val="000000"/>
          <w:sz w:val="22"/>
          <w:szCs w:val="22"/>
        </w:rPr>
      </w:r>
      <w:r>
        <w:rPr>
          <w:rFonts w:asciiTheme="majorHAnsi" w:hAnsiTheme="majorHAnsi" w:cstheme="majorHAnsi"/>
          <w:color w:val="000000"/>
          <w:sz w:val="22"/>
          <w:szCs w:val="22"/>
        </w:rPr>
        <w:fldChar w:fldCharType="separate"/>
      </w:r>
    </w:p>
    <w:p w14:paraId="04EF3347" w14:textId="25B4DC66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r w:rsidRPr="004B2E7C">
        <w:rPr>
          <w:rStyle w:val="Hyperlink"/>
          <w:rFonts w:asciiTheme="majorHAnsi" w:hAnsiTheme="majorHAnsi" w:cstheme="majorHAnsi"/>
          <w:sz w:val="22"/>
          <w:szCs w:val="22"/>
        </w:rPr>
        <w:t>Toronto (City) </w:t>
      </w:r>
      <w:r w:rsidRPr="004B2E7C">
        <w:rPr>
          <w:rStyle w:val="Hyperlink"/>
          <w:rFonts w:asciiTheme="majorHAnsi" w:hAnsiTheme="majorHAnsi" w:cstheme="majorHAnsi"/>
          <w:i/>
          <w:iCs/>
          <w:sz w:val="22"/>
          <w:szCs w:val="22"/>
        </w:rPr>
        <w:t>v.</w:t>
      </w:r>
      <w:r w:rsidRPr="004B2E7C">
        <w:rPr>
          <w:rStyle w:val="Hyperlink"/>
          <w:rFonts w:asciiTheme="majorHAnsi" w:hAnsiTheme="majorHAnsi" w:cstheme="majorHAnsi"/>
          <w:sz w:val="22"/>
          <w:szCs w:val="22"/>
        </w:rPr>
        <w:t> Ontario (Attorney General), 2021 SCC 34</w:t>
      </w:r>
      <w:r>
        <w:rPr>
          <w:rFonts w:asciiTheme="majorHAnsi" w:hAnsiTheme="majorHAnsi" w:cstheme="majorHAnsi"/>
          <w:color w:val="000000"/>
          <w:sz w:val="22"/>
          <w:szCs w:val="22"/>
        </w:rPr>
        <w:fldChar w:fldCharType="end"/>
      </w:r>
    </w:p>
    <w:p w14:paraId="58AD6193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23A6C50B" w14:textId="44BD1AC2" w:rsidR="004B2E7C" w:rsidRPr="004B2E7C" w:rsidRDefault="00000000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hyperlink r:id="rId14" w:history="1"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Doré </w:t>
        </w:r>
        <w:r w:rsidR="004B2E7C" w:rsidRPr="004B2E7C">
          <w:rPr>
            <w:rStyle w:val="Hyperlink"/>
            <w:rFonts w:asciiTheme="majorHAnsi" w:hAnsiTheme="majorHAnsi" w:cstheme="majorHAnsi"/>
            <w:i/>
            <w:iCs/>
            <w:sz w:val="22"/>
            <w:szCs w:val="22"/>
          </w:rPr>
          <w:t>v</w:t>
        </w:r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. Barreau du Québec, 2012 SCC 12, [2012] 1 S.C.R. 395</w:t>
        </w:r>
      </w:hyperlink>
    </w:p>
    <w:p w14:paraId="2AF25E5A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2428BC77" w14:textId="102F7A22" w:rsidR="004B2E7C" w:rsidRPr="004B2E7C" w:rsidRDefault="00000000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hyperlink r:id="rId15" w:history="1"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Loyola High School </w:t>
        </w:r>
        <w:r w:rsidR="004B2E7C" w:rsidRPr="004B2E7C">
          <w:rPr>
            <w:rStyle w:val="Hyperlink"/>
            <w:rFonts w:asciiTheme="majorHAnsi" w:hAnsiTheme="majorHAnsi" w:cstheme="majorHAnsi"/>
            <w:i/>
            <w:iCs/>
            <w:sz w:val="22"/>
            <w:szCs w:val="22"/>
          </w:rPr>
          <w:t>v.</w:t>
        </w:r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 Quebec (Attorney General), 2015 SCC 12, </w:t>
        </w:r>
        <w:r w:rsidR="004B2E7C" w:rsidRPr="004B2E7C">
          <w:rPr>
            <w:rStyle w:val="Hyperlink"/>
            <w:rFonts w:asciiTheme="majorHAnsi" w:hAnsiTheme="majorHAnsi" w:cstheme="majorHAnsi"/>
            <w:smallCaps/>
            <w:sz w:val="22"/>
            <w:szCs w:val="22"/>
          </w:rPr>
          <w:t>[2015] 1 S.C.R. 613</w:t>
        </w:r>
      </w:hyperlink>
    </w:p>
    <w:p w14:paraId="38D7EE2F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0359567F" w14:textId="7A026070" w:rsidR="004B2E7C" w:rsidRDefault="00000000" w:rsidP="006C2D46">
      <w:pPr>
        <w:pStyle w:val="paragraph"/>
        <w:spacing w:before="0" w:beforeAutospacing="0" w:after="0" w:afterAutospacing="0"/>
        <w:textAlignment w:val="baseline"/>
        <w:rPr>
          <w:rStyle w:val="sccappellantforindexchar"/>
          <w:rFonts w:asciiTheme="majorHAnsi" w:hAnsiTheme="majorHAnsi" w:cstheme="majorHAnsi"/>
          <w:color w:val="000000"/>
          <w:sz w:val="22"/>
          <w:szCs w:val="22"/>
        </w:rPr>
      </w:pPr>
      <w:hyperlink r:id="rId16" w:history="1"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Law Society of British Columbia </w:t>
        </w:r>
        <w:r w:rsidR="004B2E7C" w:rsidRPr="004B2E7C">
          <w:rPr>
            <w:rStyle w:val="Hyperlink"/>
            <w:rFonts w:asciiTheme="majorHAnsi" w:hAnsiTheme="majorHAnsi" w:cstheme="majorHAnsi"/>
            <w:i/>
            <w:iCs/>
            <w:sz w:val="22"/>
            <w:szCs w:val="22"/>
          </w:rPr>
          <w:t>v.</w:t>
        </w:r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 Trinity Western University, 2018 SCC 32, [2018] 2 S.C.R. 293</w:t>
        </w:r>
      </w:hyperlink>
    </w:p>
    <w:p w14:paraId="0EE0D3D2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Style w:val="sccappellantforindexchar"/>
          <w:rFonts w:asciiTheme="majorHAnsi" w:hAnsiTheme="majorHAnsi" w:cstheme="majorHAnsi"/>
          <w:color w:val="000000"/>
          <w:sz w:val="22"/>
          <w:szCs w:val="22"/>
        </w:rPr>
      </w:pPr>
    </w:p>
    <w:p w14:paraId="7A317703" w14:textId="581692D3" w:rsidR="004B2E7C" w:rsidRDefault="00000000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  <w:hyperlink r:id="rId17" w:history="1"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Carter </w:t>
        </w:r>
        <w:r w:rsidR="004B2E7C" w:rsidRPr="004B2E7C">
          <w:rPr>
            <w:rStyle w:val="Hyperlink"/>
            <w:rFonts w:asciiTheme="majorHAnsi" w:hAnsiTheme="majorHAnsi" w:cstheme="majorHAnsi"/>
            <w:i/>
            <w:iCs/>
            <w:sz w:val="22"/>
            <w:szCs w:val="22"/>
          </w:rPr>
          <w:t>v.</w:t>
        </w:r>
        <w:r w:rsidR="004B2E7C" w:rsidRPr="004B2E7C">
          <w:rPr>
            <w:rStyle w:val="Hyperlink"/>
            <w:rFonts w:asciiTheme="majorHAnsi" w:hAnsiTheme="majorHAnsi" w:cstheme="majorHAnsi"/>
            <w:sz w:val="22"/>
            <w:szCs w:val="22"/>
          </w:rPr>
          <w:t> Canada (Attorney General), 2015 SCC 5, [2015] 1 S.C.R. 331</w:t>
        </w:r>
      </w:hyperlink>
    </w:p>
    <w:p w14:paraId="5A14D9D8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z w:val="22"/>
          <w:szCs w:val="22"/>
        </w:rPr>
      </w:pPr>
    </w:p>
    <w:p w14:paraId="372718D6" w14:textId="47B75FF6" w:rsidR="004B2E7C" w:rsidRDefault="00000000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pacing w:val="-3"/>
          <w:sz w:val="22"/>
          <w:szCs w:val="22"/>
          <w:lang w:val="en-GB"/>
        </w:rPr>
      </w:pPr>
      <w:hyperlink r:id="rId18" w:history="1">
        <w:r w:rsidR="004B2E7C" w:rsidRPr="004B2E7C">
          <w:rPr>
            <w:rStyle w:val="Hyperlink"/>
            <w:rFonts w:asciiTheme="majorHAnsi" w:hAnsiTheme="majorHAnsi" w:cstheme="majorHAnsi"/>
            <w:spacing w:val="-3"/>
            <w:sz w:val="22"/>
            <w:szCs w:val="22"/>
            <w:lang w:val="en-GB"/>
          </w:rPr>
          <w:t>R.</w:t>
        </w:r>
        <w:r w:rsidR="004B2E7C" w:rsidRPr="004B2E7C">
          <w:rPr>
            <w:rStyle w:val="Hyperlink"/>
            <w:rFonts w:asciiTheme="majorHAnsi" w:hAnsiTheme="majorHAnsi" w:cstheme="majorHAnsi"/>
            <w:i/>
            <w:iCs/>
            <w:spacing w:val="-3"/>
            <w:sz w:val="22"/>
            <w:szCs w:val="22"/>
            <w:lang w:val="en-GB"/>
          </w:rPr>
          <w:t> v.</w:t>
        </w:r>
        <w:r w:rsidR="004B2E7C" w:rsidRPr="004B2E7C">
          <w:rPr>
            <w:rStyle w:val="Hyperlink"/>
            <w:rFonts w:asciiTheme="majorHAnsi" w:hAnsiTheme="majorHAnsi" w:cstheme="majorHAnsi"/>
            <w:spacing w:val="-3"/>
            <w:sz w:val="22"/>
            <w:szCs w:val="22"/>
            <w:lang w:val="en-GB"/>
          </w:rPr>
          <w:t> Keegstra, [1990] 3 S.C.R. 697</w:t>
        </w:r>
      </w:hyperlink>
    </w:p>
    <w:p w14:paraId="6DC13C8E" w14:textId="77777777" w:rsidR="004B2E7C" w:rsidRDefault="004B2E7C" w:rsidP="006C2D46">
      <w:pPr>
        <w:pStyle w:val="paragraph"/>
        <w:spacing w:before="0" w:beforeAutospacing="0" w:after="0" w:afterAutospacing="0"/>
        <w:textAlignment w:val="baseline"/>
        <w:rPr>
          <w:rFonts w:asciiTheme="majorHAnsi" w:hAnsiTheme="majorHAnsi" w:cstheme="majorHAnsi"/>
          <w:color w:val="000000"/>
          <w:spacing w:val="-3"/>
          <w:sz w:val="22"/>
          <w:szCs w:val="22"/>
          <w:lang w:val="en-GB"/>
        </w:rPr>
      </w:pPr>
    </w:p>
    <w:p w14:paraId="13FE0119" w14:textId="37921E80" w:rsidR="004B2E7C" w:rsidRDefault="00000000" w:rsidP="004B2E7C">
      <w:pPr>
        <w:rPr>
          <w:rStyle w:val="sccappellantforindexchar"/>
          <w:rFonts w:asciiTheme="majorHAnsi" w:hAnsiTheme="majorHAnsi" w:cstheme="majorHAnsi"/>
          <w:color w:val="000000"/>
        </w:rPr>
      </w:pPr>
      <w:hyperlink r:id="rId19" w:history="1">
        <w:r w:rsidR="004B2E7C" w:rsidRPr="00A10458">
          <w:rPr>
            <w:rStyle w:val="Hyperlink"/>
            <w:rFonts w:asciiTheme="majorHAnsi" w:hAnsiTheme="majorHAnsi" w:cstheme="majorHAnsi"/>
          </w:rPr>
          <w:t xml:space="preserve">RJR-MacDonald Inc. v. Canada (Attorney General) </w:t>
        </w:r>
        <w:r w:rsidR="004B2E7C" w:rsidRPr="00A10458">
          <w:rPr>
            <w:rStyle w:val="Hyperlink"/>
            <w:rFonts w:asciiTheme="majorHAnsi" w:eastAsia="Times New Roman" w:hAnsiTheme="majorHAnsi" w:cstheme="majorHAnsi"/>
            <w:lang w:val="en-CA" w:eastAsia="en-CA" w:bidi="he-IL"/>
          </w:rPr>
          <w:t>[1995] 3 S.C.R.</w:t>
        </w:r>
      </w:hyperlink>
    </w:p>
    <w:p w14:paraId="5E3FC5A8" w14:textId="4D1C0E3A" w:rsidR="00A10458" w:rsidRDefault="00000000" w:rsidP="004B2E7C">
      <w:pPr>
        <w:rPr>
          <w:rFonts w:asciiTheme="majorHAnsi" w:hAnsiTheme="majorHAnsi" w:cstheme="majorHAnsi"/>
          <w:color w:val="000000"/>
          <w:shd w:val="clear" w:color="auto" w:fill="FFFFFF"/>
        </w:rPr>
      </w:pPr>
      <w:hyperlink r:id="rId20" w:history="1">
        <w:r w:rsidR="00A10458" w:rsidRPr="00A10458">
          <w:rPr>
            <w:rStyle w:val="Hyperlink"/>
            <w:rFonts w:asciiTheme="majorHAnsi" w:hAnsiTheme="majorHAnsi" w:cstheme="majorHAnsi"/>
            <w:shd w:val="clear" w:color="auto" w:fill="FFFFFF"/>
          </w:rPr>
          <w:t>York Region District School Board v. Elementary Teachers' Federation of Ontario</w:t>
        </w:r>
      </w:hyperlink>
    </w:p>
    <w:p w14:paraId="58ECF007" w14:textId="545A531F" w:rsidR="00A10458" w:rsidRPr="00A10458" w:rsidRDefault="00A10458" w:rsidP="00A10458">
      <w:pPr>
        <w:pStyle w:val="ListParagraph"/>
        <w:numPr>
          <w:ilvl w:val="0"/>
          <w:numId w:val="17"/>
        </w:numPr>
        <w:rPr>
          <w:rFonts w:asciiTheme="majorHAnsi" w:eastAsia="Times New Roman" w:hAnsiTheme="majorHAnsi" w:cstheme="majorHAnsi"/>
          <w:color w:val="000000"/>
          <w:lang w:val="en-CA" w:eastAsia="en-CA" w:bidi="he-IL"/>
        </w:rPr>
      </w:pPr>
      <w:r w:rsidRPr="00A10458">
        <w:rPr>
          <w:rFonts w:asciiTheme="majorHAnsi" w:hAnsiTheme="majorHAnsi" w:cstheme="majorHAnsi"/>
          <w:color w:val="000000"/>
          <w:shd w:val="clear" w:color="auto" w:fill="FFFFFF"/>
        </w:rPr>
        <w:t xml:space="preserve">Asper Centre’s </w:t>
      </w:r>
      <w:hyperlink r:id="rId21" w:history="1">
        <w:r w:rsidRPr="00A10458">
          <w:rPr>
            <w:rStyle w:val="Hyperlink"/>
            <w:rFonts w:asciiTheme="majorHAnsi" w:hAnsiTheme="majorHAnsi" w:cstheme="majorHAnsi"/>
            <w:shd w:val="clear" w:color="auto" w:fill="FFFFFF"/>
          </w:rPr>
          <w:t>Intervening Factum</w:t>
        </w:r>
      </w:hyperlink>
      <w:r w:rsidRPr="00A10458"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</w:p>
    <w:p w14:paraId="50075959" w14:textId="41BC9EE8" w:rsidR="00A10458" w:rsidRDefault="00000000" w:rsidP="00A10458">
      <w:pPr>
        <w:rPr>
          <w:rFonts w:asciiTheme="majorHAnsi" w:hAnsiTheme="majorHAnsi" w:cstheme="majorHAnsi"/>
          <w:color w:val="000000"/>
        </w:rPr>
      </w:pPr>
      <w:hyperlink r:id="rId22" w:history="1">
        <w:r w:rsidR="00A10458" w:rsidRPr="00A10458">
          <w:rPr>
            <w:rStyle w:val="Hyperlink"/>
            <w:rFonts w:asciiTheme="majorHAnsi" w:hAnsiTheme="majorHAnsi" w:cstheme="majorHAnsi"/>
          </w:rPr>
          <w:t>Canada (Minister of Citizenship and Immigration) </w:t>
        </w:r>
        <w:r w:rsidR="00A10458" w:rsidRPr="00A10458">
          <w:rPr>
            <w:rStyle w:val="Hyperlink"/>
            <w:rFonts w:asciiTheme="majorHAnsi" w:hAnsiTheme="majorHAnsi" w:cstheme="majorHAnsi"/>
            <w:i/>
            <w:iCs/>
          </w:rPr>
          <w:t>v.</w:t>
        </w:r>
        <w:r w:rsidR="00A10458" w:rsidRPr="00A10458">
          <w:rPr>
            <w:rStyle w:val="Hyperlink"/>
            <w:rFonts w:asciiTheme="majorHAnsi" w:hAnsiTheme="majorHAnsi" w:cstheme="majorHAnsi"/>
          </w:rPr>
          <w:t> Vavilov, 2019 SCC 65, [2019] 4 S.C.R. 653</w:t>
        </w:r>
      </w:hyperlink>
    </w:p>
    <w:p w14:paraId="4E9553A8" w14:textId="05D69EC6" w:rsidR="00A10458" w:rsidRDefault="00000000" w:rsidP="00A10458">
      <w:pPr>
        <w:rPr>
          <w:rFonts w:asciiTheme="majorHAnsi" w:hAnsiTheme="majorHAnsi" w:cstheme="majorHAnsi"/>
          <w:color w:val="000000"/>
        </w:rPr>
      </w:pPr>
      <w:hyperlink r:id="rId23" w:history="1">
        <w:r w:rsidR="00A10458" w:rsidRPr="00A10458">
          <w:rPr>
            <w:rStyle w:val="Hyperlink"/>
            <w:rFonts w:asciiTheme="majorHAnsi" w:hAnsiTheme="majorHAnsi" w:cstheme="majorHAnsi"/>
          </w:rPr>
          <w:t>Dunsmuir </w:t>
        </w:r>
        <w:r w:rsidR="00A10458" w:rsidRPr="00A10458">
          <w:rPr>
            <w:rStyle w:val="Hyperlink"/>
            <w:rFonts w:asciiTheme="majorHAnsi" w:hAnsiTheme="majorHAnsi" w:cstheme="majorHAnsi"/>
            <w:i/>
            <w:iCs/>
          </w:rPr>
          <w:t>v</w:t>
        </w:r>
        <w:r w:rsidR="00A10458" w:rsidRPr="00A10458">
          <w:rPr>
            <w:rStyle w:val="Hyperlink"/>
            <w:rFonts w:asciiTheme="majorHAnsi" w:hAnsiTheme="majorHAnsi" w:cstheme="majorHAnsi"/>
          </w:rPr>
          <w:t>. New Brunswick, [2008] 1 S.C.R. 190, 2008 SCC 9</w:t>
        </w:r>
      </w:hyperlink>
    </w:p>
    <w:p w14:paraId="0D59AE3D" w14:textId="611CC3BF" w:rsidR="00BB5E3C" w:rsidRPr="00BB5E3C" w:rsidRDefault="00000000" w:rsidP="00BB5E3C">
      <w:pPr>
        <w:shd w:val="clear" w:color="auto" w:fill="FFFFFF"/>
        <w:spacing w:before="100" w:beforeAutospacing="1" w:after="100" w:afterAutospacing="1" w:line="240" w:lineRule="auto"/>
        <w:textAlignment w:val="center"/>
        <w:rPr>
          <w:rFonts w:asciiTheme="majorHAnsi" w:hAnsiTheme="majorHAnsi" w:cstheme="majorHAnsi"/>
          <w:color w:val="666666"/>
        </w:rPr>
      </w:pPr>
      <w:hyperlink r:id="rId24" w:tgtFrame="_blank" w:history="1">
        <w:r w:rsidR="00BB5E3C" w:rsidRPr="00AC76EB">
          <w:rPr>
            <w:rStyle w:val="Hyperlink"/>
            <w:rFonts w:asciiTheme="majorHAnsi" w:hAnsiTheme="majorHAnsi" w:cstheme="majorHAnsi"/>
            <w:color w:val="auto"/>
          </w:rPr>
          <w:t>Taylor-Baptiste v. Ontario Public Service Employees Union</w:t>
        </w:r>
      </w:hyperlink>
      <w:r w:rsidR="00BB5E3C" w:rsidRPr="00BB5E3C">
        <w:rPr>
          <w:rFonts w:asciiTheme="majorHAnsi" w:hAnsiTheme="majorHAnsi" w:cstheme="majorHAnsi"/>
          <w:color w:val="666666"/>
        </w:rPr>
        <w:t xml:space="preserve">, 2013 Carswell </w:t>
      </w:r>
      <w:proofErr w:type="spellStart"/>
      <w:r w:rsidR="00BB5E3C" w:rsidRPr="00BB5E3C">
        <w:rPr>
          <w:rFonts w:asciiTheme="majorHAnsi" w:hAnsiTheme="majorHAnsi" w:cstheme="majorHAnsi"/>
          <w:color w:val="666666"/>
        </w:rPr>
        <w:t>Ont</w:t>
      </w:r>
      <w:proofErr w:type="spellEnd"/>
      <w:r w:rsidR="00BB5E3C" w:rsidRPr="00BB5E3C">
        <w:rPr>
          <w:rFonts w:asciiTheme="majorHAnsi" w:hAnsiTheme="majorHAnsi" w:cstheme="majorHAnsi"/>
          <w:color w:val="666666"/>
        </w:rPr>
        <w:t xml:space="preserve"> 1033, 2013 HRTO 180, 2013 C.L.L.C. 230-019</w:t>
      </w:r>
      <w:r w:rsidR="00AC76EB">
        <w:rPr>
          <w:rFonts w:asciiTheme="majorHAnsi" w:hAnsiTheme="majorHAnsi" w:cstheme="majorHAnsi"/>
          <w:color w:val="666666"/>
        </w:rPr>
        <w:t xml:space="preserve"> </w:t>
      </w:r>
      <w:r w:rsidR="00BB5E3C" w:rsidRPr="00BB5E3C">
        <w:rPr>
          <w:rFonts w:asciiTheme="majorHAnsi" w:hAnsiTheme="majorHAnsi" w:cstheme="majorHAnsi"/>
          <w:color w:val="666666"/>
        </w:rPr>
        <w:t>(</w:t>
      </w:r>
      <w:proofErr w:type="spellStart"/>
      <w:r w:rsidR="00BB5E3C" w:rsidRPr="00BB5E3C">
        <w:rPr>
          <w:rFonts w:asciiTheme="majorHAnsi" w:hAnsiTheme="majorHAnsi" w:cstheme="majorHAnsi"/>
          <w:color w:val="666666"/>
        </w:rPr>
        <w:t>CanLII</w:t>
      </w:r>
      <w:proofErr w:type="spellEnd"/>
      <w:r w:rsidR="00BB5E3C" w:rsidRPr="00BB5E3C">
        <w:rPr>
          <w:rFonts w:asciiTheme="majorHAnsi" w:hAnsiTheme="majorHAnsi" w:cstheme="majorHAnsi"/>
          <w:color w:val="666666"/>
        </w:rPr>
        <w:t>)</w:t>
      </w:r>
    </w:p>
    <w:p w14:paraId="2F134953" w14:textId="09C99703" w:rsidR="00A10458" w:rsidRDefault="00000000" w:rsidP="00271D44">
      <w:pPr>
        <w:tabs>
          <w:tab w:val="left" w:pos="7560"/>
        </w:tabs>
        <w:rPr>
          <w:rFonts w:asciiTheme="majorHAnsi" w:hAnsiTheme="majorHAnsi" w:cstheme="majorHAnsi"/>
        </w:rPr>
      </w:pPr>
      <w:hyperlink r:id="rId25" w:history="1">
        <w:r w:rsidR="00BB5E3C" w:rsidRPr="00BB5E3C">
          <w:rPr>
            <w:rStyle w:val="Hyperlink"/>
            <w:rFonts w:asciiTheme="majorHAnsi" w:hAnsiTheme="majorHAnsi" w:cstheme="majorHAnsi"/>
            <w:color w:val="027ABB"/>
            <w:shd w:val="clear" w:color="auto" w:fill="FFFFFF"/>
          </w:rPr>
          <w:t>Ontario Teacher Candidates’ Council v. The Queen, 2021 ONSC 7386 (</w:t>
        </w:r>
        <w:proofErr w:type="spellStart"/>
        <w:r w:rsidR="00BB5E3C" w:rsidRPr="00BB5E3C">
          <w:rPr>
            <w:rStyle w:val="Hyperlink"/>
            <w:rFonts w:asciiTheme="majorHAnsi" w:hAnsiTheme="majorHAnsi" w:cstheme="majorHAnsi"/>
            <w:color w:val="027ABB"/>
            <w:shd w:val="clear" w:color="auto" w:fill="FFFFFF"/>
          </w:rPr>
          <w:t>CanLII</w:t>
        </w:r>
        <w:proofErr w:type="spellEnd"/>
        <w:r w:rsidR="00BB5E3C" w:rsidRPr="00BB5E3C">
          <w:rPr>
            <w:rStyle w:val="Hyperlink"/>
            <w:rFonts w:asciiTheme="majorHAnsi" w:hAnsiTheme="majorHAnsi" w:cstheme="majorHAnsi"/>
            <w:color w:val="027ABB"/>
            <w:shd w:val="clear" w:color="auto" w:fill="FFFFFF"/>
          </w:rPr>
          <w:t>)</w:t>
        </w:r>
      </w:hyperlink>
      <w:r w:rsidR="00271D44">
        <w:rPr>
          <w:rFonts w:asciiTheme="majorHAnsi" w:hAnsiTheme="majorHAnsi" w:cstheme="majorHAnsi"/>
        </w:rPr>
        <w:tab/>
      </w:r>
    </w:p>
    <w:p w14:paraId="6299E14F" w14:textId="77777777" w:rsidR="00AC76EB" w:rsidRPr="00AC76EB" w:rsidRDefault="00AC76EB" w:rsidP="00AC76EB">
      <w:pPr>
        <w:tabs>
          <w:tab w:val="left" w:pos="7560"/>
        </w:tabs>
        <w:rPr>
          <w:rFonts w:asciiTheme="majorHAnsi" w:hAnsiTheme="majorHAnsi" w:cstheme="majorHAnsi"/>
        </w:rPr>
      </w:pPr>
      <w:r w:rsidRPr="00AC76EB">
        <w:rPr>
          <w:rFonts w:asciiTheme="majorHAnsi" w:hAnsiTheme="majorHAnsi" w:cstheme="majorHAnsi"/>
          <w:color w:val="000000"/>
          <w:shd w:val="clear" w:color="auto" w:fill="FFFFFF"/>
        </w:rPr>
        <w:t>Horner, Matthew. "Charter Values: The Uncanny Valley of Canadian Constitutionalism." </w:t>
      </w:r>
      <w:r w:rsidRPr="00AC76EB">
        <w:rPr>
          <w:rStyle w:val="Emphasis"/>
          <w:rFonts w:asciiTheme="majorHAnsi" w:hAnsiTheme="majorHAnsi" w:cstheme="majorHAnsi"/>
          <w:color w:val="000000"/>
          <w:bdr w:val="none" w:sz="0" w:space="0" w:color="auto" w:frame="1"/>
          <w:shd w:val="clear" w:color="auto" w:fill="FFFFFF"/>
        </w:rPr>
        <w:t xml:space="preserve">The Supreme Court Law Review: </w:t>
      </w:r>
      <w:proofErr w:type="spellStart"/>
      <w:r w:rsidRPr="00AC76EB">
        <w:rPr>
          <w:rStyle w:val="Emphasis"/>
          <w:rFonts w:asciiTheme="majorHAnsi" w:hAnsiTheme="majorHAnsi" w:cstheme="majorHAnsi"/>
          <w:color w:val="000000"/>
          <w:bdr w:val="none" w:sz="0" w:space="0" w:color="auto" w:frame="1"/>
          <w:shd w:val="clear" w:color="auto" w:fill="FFFFFF"/>
        </w:rPr>
        <w:t>Osgoode’s</w:t>
      </w:r>
      <w:proofErr w:type="spellEnd"/>
      <w:r w:rsidRPr="00AC76EB">
        <w:rPr>
          <w:rStyle w:val="Emphasis"/>
          <w:rFonts w:asciiTheme="majorHAnsi" w:hAnsiTheme="majorHAnsi" w:cstheme="majorHAnsi"/>
          <w:color w:val="000000"/>
          <w:bdr w:val="none" w:sz="0" w:space="0" w:color="auto" w:frame="1"/>
          <w:shd w:val="clear" w:color="auto" w:fill="FFFFFF"/>
        </w:rPr>
        <w:t xml:space="preserve"> Annual Constitutional Cases Conference</w:t>
      </w:r>
      <w:r w:rsidRPr="00AC76EB">
        <w:rPr>
          <w:rFonts w:asciiTheme="majorHAnsi" w:hAnsiTheme="majorHAnsi" w:cstheme="majorHAnsi"/>
          <w:color w:val="000000"/>
          <w:shd w:val="clear" w:color="auto" w:fill="FFFFFF"/>
        </w:rPr>
        <w:t> 67. (2014).</w:t>
      </w:r>
      <w:r>
        <w:rPr>
          <w:rFonts w:asciiTheme="majorHAnsi" w:hAnsiTheme="majorHAnsi" w:cstheme="majorHAnsi"/>
          <w:color w:val="000000"/>
          <w:shd w:val="clear" w:color="auto" w:fill="FFFFFF"/>
        </w:rPr>
        <w:t xml:space="preserve"> </w:t>
      </w:r>
      <w:r w:rsidRPr="00AC76EB">
        <w:rPr>
          <w:rFonts w:asciiTheme="majorHAnsi" w:hAnsiTheme="majorHAnsi" w:cstheme="majorHAnsi"/>
          <w:color w:val="000000"/>
          <w:shd w:val="clear" w:color="auto" w:fill="FFFFFF"/>
        </w:rPr>
        <w:t>DOI: </w:t>
      </w:r>
      <w:hyperlink r:id="rId26" w:history="1">
        <w:r w:rsidRPr="00AC76EB">
          <w:rPr>
            <w:rStyle w:val="Hyperlink"/>
            <w:rFonts w:asciiTheme="majorHAnsi" w:hAnsiTheme="majorHAnsi" w:cstheme="majorHAnsi"/>
            <w:color w:val="B1132B"/>
            <w:bdr w:val="none" w:sz="0" w:space="0" w:color="auto" w:frame="1"/>
            <w:shd w:val="clear" w:color="auto" w:fill="FFFFFF"/>
          </w:rPr>
          <w:t>https://doi.org/10.60082/2563-8505.1293</w:t>
        </w:r>
      </w:hyperlink>
    </w:p>
    <w:p w14:paraId="7ECEE089" w14:textId="75AB3DDD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color w:val="2F5496"/>
          <w:sz w:val="32"/>
          <w:szCs w:val="32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About the Asper Centre 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333FAC63" w14:textId="77777777" w:rsidR="00E12DED" w:rsidRDefault="00E12DED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188E7F8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The </w:t>
      </w:r>
      <w:hyperlink r:id="rId27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</w:rPr>
          <w:t>Asper Centre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, a part of the </w:t>
      </w:r>
      <w:hyperlink r:id="rId28" w:tgtFrame="_blank" w:history="1">
        <w:r>
          <w:rPr>
            <w:rStyle w:val="normaltextrun"/>
            <w:rFonts w:ascii="Calibri" w:hAnsi="Calibri" w:cs="Segoe UI"/>
            <w:color w:val="0563C1"/>
            <w:sz w:val="22"/>
            <w:szCs w:val="22"/>
          </w:rPr>
          <w:t>University of Toronto’s Faculty of Law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since 2008, is devoted to realizing constitutional rights through advocacy, research and education. The Centre aims to play a vital role in articulating Canada’s constitutional vision to the broader world. The cornerstone of the Centre is a legal clinic that brings together students, </w:t>
      </w:r>
      <w:proofErr w:type="gramStart"/>
      <w:r>
        <w:rPr>
          <w:rStyle w:val="normaltextrun"/>
          <w:rFonts w:ascii="Calibri" w:hAnsi="Calibri" w:cs="Segoe UI"/>
          <w:color w:val="000000"/>
          <w:sz w:val="22"/>
          <w:szCs w:val="22"/>
        </w:rPr>
        <w:t>faculty</w:t>
      </w:r>
      <w:proofErr w:type="gramEnd"/>
      <w:r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and members of the bar to work on significant constitutional cases and advocacy initiatives. The Centre was established through a generous gift from U of T law alumnus </w:t>
      </w:r>
      <w:hyperlink r:id="rId29" w:tgtFrame="_blank" w:history="1">
        <w:r>
          <w:rPr>
            <w:rStyle w:val="normaltextrun"/>
            <w:rFonts w:ascii="Calibri" w:hAnsi="Calibri" w:cs="Segoe UI"/>
            <w:color w:val="000000"/>
            <w:sz w:val="22"/>
            <w:szCs w:val="22"/>
          </w:rPr>
          <w:t>David Asper </w:t>
        </w:r>
      </w:hyperlink>
      <w:r>
        <w:rPr>
          <w:rStyle w:val="normaltextrun"/>
          <w:rFonts w:ascii="Calibri" w:hAnsi="Calibri" w:cs="Segoe UI"/>
          <w:color w:val="000000"/>
          <w:sz w:val="22"/>
          <w:szCs w:val="22"/>
        </w:rPr>
        <w:t>(LLM ’07). </w:t>
      </w:r>
      <w:r>
        <w:rPr>
          <w:rStyle w:val="eop"/>
          <w:rFonts w:ascii="Calibri" w:hAnsi="Calibri" w:cs="Segoe UI"/>
          <w:color w:val="000000"/>
          <w:sz w:val="22"/>
          <w:szCs w:val="22"/>
        </w:rPr>
        <w:t> </w:t>
      </w:r>
    </w:p>
    <w:p w14:paraId="5C380D34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6D5F643F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Segoe UI"/>
          <w:color w:val="2F5496"/>
          <w:sz w:val="32"/>
          <w:szCs w:val="32"/>
        </w:rPr>
        <w:t>Thank You’s</w:t>
      </w:r>
      <w:r>
        <w:rPr>
          <w:rStyle w:val="eop"/>
          <w:rFonts w:ascii="Calibri" w:hAnsi="Calibri" w:cs="Segoe UI"/>
          <w:color w:val="2F5496"/>
          <w:sz w:val="32"/>
          <w:szCs w:val="32"/>
        </w:rPr>
        <w:t> </w:t>
      </w:r>
    </w:p>
    <w:p w14:paraId="5886251B" w14:textId="77777777" w:rsidR="00E12DED" w:rsidRDefault="00E12DED" w:rsidP="006C2D46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14:paraId="7F95B55A" w14:textId="1FC60B06" w:rsidR="006C2D46" w:rsidRPr="00E12DED" w:rsidRDefault="00E12DED" w:rsidP="006C2D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/>
          <w:color w:val="000000"/>
          <w:sz w:val="22"/>
          <w:szCs w:val="22"/>
        </w:rPr>
      </w:pPr>
      <w:r w:rsidRPr="00E12DED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Thank you to our wonderful guests on this episode, </w:t>
      </w:r>
      <w:r w:rsidR="00FA43FC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Professor Richard </w:t>
      </w:r>
      <w:proofErr w:type="gramStart"/>
      <w:r w:rsidR="00FA43FC">
        <w:rPr>
          <w:rStyle w:val="normaltextrun"/>
          <w:rFonts w:ascii="Calibri" w:hAnsi="Calibri" w:cs="Segoe UI"/>
          <w:color w:val="000000"/>
          <w:sz w:val="22"/>
          <w:szCs w:val="22"/>
        </w:rPr>
        <w:t>Stacey</w:t>
      </w:r>
      <w:proofErr w:type="gramEnd"/>
      <w:r w:rsidR="00FA43FC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 and Matthew Horner</w:t>
      </w:r>
      <w:r w:rsidR="00466077">
        <w:rPr>
          <w:rStyle w:val="normaltextrun"/>
          <w:rFonts w:ascii="Calibri" w:hAnsi="Calibri" w:cs="Segoe UI"/>
          <w:color w:val="000000"/>
          <w:sz w:val="22"/>
          <w:szCs w:val="22"/>
        </w:rPr>
        <w:t>!</w:t>
      </w:r>
    </w:p>
    <w:p w14:paraId="224B39BA" w14:textId="77777777" w:rsidR="00E12DED" w:rsidRPr="00E12DED" w:rsidRDefault="00E12DED" w:rsidP="006C2D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  <w:bookmarkStart w:id="0" w:name="_Int_w4nWDOOQ"/>
    </w:p>
    <w:p w14:paraId="0288F568" w14:textId="0E62552D" w:rsidR="00E12DED" w:rsidRPr="00E12DED" w:rsidRDefault="00E12DED" w:rsidP="10F63C52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Thank you to University of Toronto </w:t>
      </w:r>
      <w:r w:rsidR="603316E1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Faculty of L</w:t>
      </w: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aw </w:t>
      </w:r>
      <w:r w:rsidR="63B2555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JD </w:t>
      </w: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student </w:t>
      </w:r>
      <w:r w:rsidR="00FA43FC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Gabrielle Dunning</w:t>
      </w: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, who helped with the production of this episode. </w:t>
      </w:r>
    </w:p>
    <w:p w14:paraId="0A85EFB5" w14:textId="77777777" w:rsidR="00E12DED" w:rsidRPr="00E12DED" w:rsidRDefault="00E12DED" w:rsidP="006C2D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</w:p>
    <w:p w14:paraId="0C49BA7E" w14:textId="35247BFB" w:rsidR="00E12DED" w:rsidRPr="00E12DED" w:rsidRDefault="00E12DED" w:rsidP="00E12D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/>
          <w:color w:val="000000"/>
          <w:sz w:val="22"/>
          <w:szCs w:val="22"/>
        </w:rPr>
      </w:pPr>
      <w:r w:rsidRPr="00E12DED">
        <w:rPr>
          <w:rStyle w:val="normaltextrun"/>
          <w:rFonts w:ascii="Calibri" w:hAnsi="Calibri" w:cs="Segoe UI"/>
          <w:color w:val="000000"/>
          <w:sz w:val="22"/>
          <w:szCs w:val="22"/>
        </w:rPr>
        <w:t xml:space="preserve">Thank you to our audio editor Liam Morrison of </w:t>
      </w:r>
      <w:hyperlink r:id="rId30" w:tgtFrame="_blank" w:history="1">
        <w:r w:rsidRPr="00466077">
          <w:rPr>
            <w:rStyle w:val="normaltextrun"/>
            <w:rFonts w:ascii="Calibri" w:hAnsi="Calibri" w:cs="Segoe UI"/>
            <w:color w:val="000000"/>
            <w:sz w:val="22"/>
            <w:szCs w:val="22"/>
            <w:u w:val="single"/>
          </w:rPr>
          <w:t>Bell Room Media Solutions</w:t>
        </w:r>
      </w:hyperlink>
      <w:r w:rsidRPr="00E12DED">
        <w:rPr>
          <w:rStyle w:val="normaltextrun"/>
          <w:rFonts w:ascii="Calibri" w:hAnsi="Calibri" w:cs="Segoe UI"/>
          <w:color w:val="000000"/>
          <w:sz w:val="22"/>
          <w:szCs w:val="22"/>
        </w:rPr>
        <w:t>. </w:t>
      </w:r>
      <w:r w:rsidRPr="00E12DED">
        <w:rPr>
          <w:rStyle w:val="normaltextrun"/>
          <w:sz w:val="22"/>
          <w:szCs w:val="22"/>
        </w:rPr>
        <w:t> </w:t>
      </w:r>
    </w:p>
    <w:p w14:paraId="54768F02" w14:textId="77777777" w:rsidR="00E12DED" w:rsidRPr="00E12DED" w:rsidRDefault="00E12DED" w:rsidP="006C2D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</w:p>
    <w:p w14:paraId="15B88C3C" w14:textId="44F03D98" w:rsidR="006C2D46" w:rsidRPr="00E12DED" w:rsidRDefault="00E12DED" w:rsidP="7F37B40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/>
          <w:color w:val="000000"/>
          <w:sz w:val="22"/>
          <w:szCs w:val="22"/>
        </w:rPr>
      </w:pP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Thank you to</w:t>
      </w:r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the creators of our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theme music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, Charter: A Course!</w:t>
      </w:r>
      <w:r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bookmarkEnd w:id="0"/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Constitutional la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w</w:t>
      </w:r>
      <w:r w:rsidR="39991FB1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p</w:t>
      </w:r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rofessor Howie </w:t>
      </w:r>
      <w:proofErr w:type="spellStart"/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Kislowicz</w:t>
      </w:r>
      <w:proofErr w:type="spellEnd"/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 and law professor Rob Currie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</w:t>
      </w:r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gave us the licence to use their constitutional law shanty in exchange for a donation to the Calgary Food Bank. The song’s performers </w:t>
      </w:r>
      <w:r w:rsidR="00466077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are</w:t>
      </w:r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Vanessa Carroll, Rob Currie, Howie </w:t>
      </w:r>
      <w:proofErr w:type="spellStart"/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Kislowicz</w:t>
      </w:r>
      <w:proofErr w:type="spellEnd"/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, Avinash Kowshik, Anna Lund, Patricia Paradis, Elin Sigurdson, Lyle Skinner, and Dave Wright. You can listen to the entire shanty here: </w:t>
      </w:r>
      <w:hyperlink r:id="rId31">
        <w:r w:rsidR="006C2D46" w:rsidRPr="10F63C52">
          <w:rPr>
            <w:rStyle w:val="normaltextrun"/>
            <w:rFonts w:ascii="Calibri" w:hAnsi="Calibri" w:cs="Segoe UI"/>
            <w:color w:val="000000" w:themeColor="text1"/>
            <w:sz w:val="22"/>
            <w:szCs w:val="22"/>
            <w:u w:val="single"/>
          </w:rPr>
          <w:t>Charter a Course</w:t>
        </w:r>
      </w:hyperlink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.  Please consider contributing to your local food bank</w:t>
      </w:r>
      <w:r w:rsidR="08962F48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.</w:t>
      </w:r>
      <w:r w:rsidR="006C2D46" w:rsidRPr="10F63C52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 </w:t>
      </w:r>
      <w:r w:rsidR="006C2D46" w:rsidRPr="10F63C52">
        <w:rPr>
          <w:rStyle w:val="normaltextrun"/>
        </w:rPr>
        <w:t> </w:t>
      </w:r>
    </w:p>
    <w:p w14:paraId="63E88614" w14:textId="77777777" w:rsidR="006C2D46" w:rsidRPr="00E12DED" w:rsidRDefault="006C2D46" w:rsidP="006C2D4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/>
          <w:color w:val="000000"/>
          <w:sz w:val="22"/>
          <w:szCs w:val="22"/>
        </w:rPr>
      </w:pPr>
      <w:r w:rsidRPr="00E12DED">
        <w:rPr>
          <w:rStyle w:val="normaltextrun"/>
          <w:rFonts w:ascii="Calibri" w:hAnsi="Calibri" w:cs="Segoe UI"/>
          <w:color w:val="000000"/>
          <w:sz w:val="22"/>
          <w:szCs w:val="22"/>
        </w:rPr>
        <w:lastRenderedPageBreak/>
        <w:t> </w:t>
      </w:r>
    </w:p>
    <w:p w14:paraId="21760B6D" w14:textId="05A13F87" w:rsidR="006C2D46" w:rsidRPr="00E12DED" w:rsidRDefault="006C2D46" w:rsidP="7F37B404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z w:val="22"/>
          <w:szCs w:val="22"/>
        </w:rPr>
      </w:pPr>
      <w:r w:rsidRPr="7F37B404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Thank you </w:t>
      </w:r>
      <w:r w:rsidR="00E12DED" w:rsidRPr="7F37B404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>to our</w:t>
      </w:r>
      <w:r w:rsidR="67150A61" w:rsidRPr="7F37B404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dedicated</w:t>
      </w:r>
      <w:r w:rsidR="00E12DED" w:rsidRPr="7F37B404">
        <w:rPr>
          <w:rStyle w:val="normaltextrun"/>
          <w:rFonts w:ascii="Calibri" w:hAnsi="Calibri" w:cs="Segoe UI"/>
          <w:color w:val="000000" w:themeColor="text1"/>
          <w:sz w:val="22"/>
          <w:szCs w:val="22"/>
        </w:rPr>
        <w:t xml:space="preserve"> listeners!</w:t>
      </w:r>
    </w:p>
    <w:p w14:paraId="1546699E" w14:textId="77777777" w:rsidR="00E12DED" w:rsidRDefault="00E12DED" w:rsidP="00E12DE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color w:val="000000"/>
          <w:shd w:val="clear" w:color="auto" w:fill="FFFFFF"/>
        </w:rPr>
      </w:pPr>
    </w:p>
    <w:p w14:paraId="687D857D" w14:textId="77777777" w:rsidR="00E12DED" w:rsidRDefault="00E12DED" w:rsidP="00E12DED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65EA851F" w14:textId="77777777" w:rsidR="006C2D46" w:rsidRDefault="006C2D46" w:rsidP="006C2D4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14:paraId="5DA7860F" w14:textId="0B0BDBCB" w:rsidR="006C2D46" w:rsidRPr="00AA3EC9" w:rsidRDefault="006C2D46" w:rsidP="00AA3EC9">
      <w:pPr>
        <w:spacing w:after="0" w:line="360" w:lineRule="auto"/>
        <w:ind w:firstLine="567"/>
        <w:rPr>
          <w:color w:val="FF0000"/>
        </w:rPr>
      </w:pPr>
    </w:p>
    <w:sectPr w:rsidR="006C2D46" w:rsidRPr="00AA3EC9" w:rsidSect="001216B9">
      <w:footerReference w:type="even" r:id="rId32"/>
      <w:footerReference w:type="default" r:id="rId33"/>
      <w:pgSz w:w="12240" w:h="15840"/>
      <w:pgMar w:top="1440" w:right="1080" w:bottom="1440" w:left="108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2D19EB" w14:textId="77777777" w:rsidR="002B55A3" w:rsidRDefault="002B55A3">
      <w:pPr>
        <w:spacing w:after="0" w:line="240" w:lineRule="auto"/>
      </w:pPr>
      <w:r>
        <w:separator/>
      </w:r>
    </w:p>
  </w:endnote>
  <w:endnote w:type="continuationSeparator" w:id="0">
    <w:p w14:paraId="2483D99F" w14:textId="77777777" w:rsidR="002B55A3" w:rsidRDefault="002B5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BB95C" w14:textId="037718BD" w:rsidR="001216B9" w:rsidRDefault="001216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2C24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08F2F45D" w14:textId="1C39C059" w:rsidR="001216B9" w:rsidRDefault="001216B9">
    <w:pPr>
      <w:pStyle w:val="Footer"/>
      <w:framePr w:wrap="none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2D2C24">
      <w:rPr>
        <w:rStyle w:val="PageNumber"/>
        <w:noProof/>
      </w:rPr>
      <w:t>- 2 -</w:t>
    </w:r>
    <w:r>
      <w:rPr>
        <w:rStyle w:val="PageNumber"/>
      </w:rPr>
      <w:fldChar w:fldCharType="end"/>
    </w:r>
  </w:p>
  <w:p w14:paraId="6B954383" w14:textId="77777777" w:rsidR="001216B9" w:rsidRDefault="001216B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Arial" w:hAnsi="Arial" w:cs="Arial"/>
      </w:rPr>
      <w:id w:val="1113323662"/>
      <w:docPartObj>
        <w:docPartGallery w:val="Page Numbers (Bottom of Page)"/>
        <w:docPartUnique/>
      </w:docPartObj>
    </w:sdtPr>
    <w:sdtContent>
      <w:p w14:paraId="73E248F1" w14:textId="77777777" w:rsidR="001216B9" w:rsidRPr="009C3AF0" w:rsidRDefault="001216B9">
        <w:pPr>
          <w:pStyle w:val="Footer"/>
          <w:framePr w:wrap="none" w:vAnchor="text" w:hAnchor="margin" w:xAlign="center" w:y="1"/>
          <w:rPr>
            <w:rStyle w:val="PageNumber"/>
            <w:rFonts w:ascii="Arial" w:hAnsi="Arial" w:cs="Arial"/>
          </w:rPr>
        </w:pPr>
        <w:r w:rsidRPr="009C3AF0">
          <w:rPr>
            <w:rStyle w:val="PageNumber"/>
            <w:rFonts w:ascii="Arial" w:hAnsi="Arial" w:cs="Arial"/>
          </w:rPr>
          <w:fldChar w:fldCharType="begin"/>
        </w:r>
        <w:r w:rsidRPr="009C3AF0">
          <w:rPr>
            <w:rStyle w:val="PageNumber"/>
            <w:rFonts w:ascii="Arial" w:hAnsi="Arial" w:cs="Arial"/>
          </w:rPr>
          <w:instrText xml:space="preserve"> PAGE </w:instrText>
        </w:r>
        <w:r w:rsidRPr="009C3AF0">
          <w:rPr>
            <w:rStyle w:val="PageNumber"/>
            <w:rFonts w:ascii="Arial" w:hAnsi="Arial" w:cs="Arial"/>
          </w:rPr>
          <w:fldChar w:fldCharType="separate"/>
        </w:r>
        <w:r w:rsidRPr="009C3AF0">
          <w:rPr>
            <w:rStyle w:val="PageNumber"/>
            <w:rFonts w:ascii="Arial" w:hAnsi="Arial" w:cs="Arial"/>
            <w:noProof/>
          </w:rPr>
          <w:t>- 1 -</w:t>
        </w:r>
        <w:r w:rsidRPr="009C3AF0">
          <w:rPr>
            <w:rStyle w:val="PageNumber"/>
            <w:rFonts w:ascii="Arial" w:hAnsi="Arial" w:cs="Arial"/>
          </w:rPr>
          <w:fldChar w:fldCharType="end"/>
        </w:r>
      </w:p>
    </w:sdtContent>
  </w:sdt>
  <w:p w14:paraId="4B154DC5" w14:textId="28E737DA" w:rsidR="00930F33" w:rsidRPr="009C3AF0" w:rsidRDefault="001216B9">
    <w:pPr>
      <w:pStyle w:val="Footer"/>
      <w:rPr>
        <w:rFonts w:ascii="Arial" w:hAnsi="Arial" w:cs="Arial"/>
        <w:color w:val="BFBFBF" w:themeColor="background1" w:themeShade="BF"/>
      </w:rPr>
    </w:pPr>
    <w:r w:rsidRPr="009C3AF0">
      <w:rPr>
        <w:rFonts w:ascii="Arial" w:hAnsi="Arial" w:cs="Arial"/>
        <w:color w:val="BFBFBF" w:themeColor="background1" w:themeShade="BF"/>
      </w:rPr>
      <w:ptab w:relativeTo="margin" w:alignment="center" w:leader="none"/>
    </w:r>
    <w:r w:rsidRPr="009C3AF0">
      <w:rPr>
        <w:rFonts w:ascii="Arial" w:hAnsi="Arial" w:cs="Arial"/>
        <w:color w:val="BFBFBF" w:themeColor="background1" w:themeShade="B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454C5F" w14:textId="77777777" w:rsidR="002B55A3" w:rsidRDefault="002B55A3">
      <w:pPr>
        <w:spacing w:after="0" w:line="240" w:lineRule="auto"/>
      </w:pPr>
      <w:r>
        <w:separator/>
      </w:r>
    </w:p>
  </w:footnote>
  <w:footnote w:type="continuationSeparator" w:id="0">
    <w:p w14:paraId="2952FF8E" w14:textId="77777777" w:rsidR="002B55A3" w:rsidRDefault="002B55A3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JoZpr3cX5j43nP" int2:id="EbSrVA1P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5D032CD"/>
    <w:multiLevelType w:val="hybridMultilevel"/>
    <w:tmpl w:val="66E6F25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2DB0D61"/>
    <w:multiLevelType w:val="hybridMultilevel"/>
    <w:tmpl w:val="FA7CF930"/>
    <w:lvl w:ilvl="0" w:tplc="8570870A">
      <w:start w:val="18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9B73ABE"/>
    <w:multiLevelType w:val="multilevel"/>
    <w:tmpl w:val="8D5ED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090D66"/>
    <w:multiLevelType w:val="hybridMultilevel"/>
    <w:tmpl w:val="4EA8E5B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C6A11CA"/>
    <w:multiLevelType w:val="hybridMultilevel"/>
    <w:tmpl w:val="396C336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279C4B9"/>
    <w:multiLevelType w:val="hybridMultilevel"/>
    <w:tmpl w:val="BE1A64EC"/>
    <w:lvl w:ilvl="0" w:tplc="0B400C38">
      <w:start w:val="1"/>
      <w:numFmt w:val="upperLetter"/>
      <w:lvlText w:val="%1."/>
      <w:lvlJc w:val="left"/>
      <w:pPr>
        <w:ind w:left="720" w:hanging="360"/>
      </w:pPr>
    </w:lvl>
    <w:lvl w:ilvl="1" w:tplc="38C095CA">
      <w:start w:val="1"/>
      <w:numFmt w:val="lowerLetter"/>
      <w:lvlText w:val="%2."/>
      <w:lvlJc w:val="left"/>
      <w:pPr>
        <w:ind w:left="1440" w:hanging="360"/>
      </w:pPr>
    </w:lvl>
    <w:lvl w:ilvl="2" w:tplc="E7D680E2">
      <w:start w:val="1"/>
      <w:numFmt w:val="lowerRoman"/>
      <w:lvlText w:val="%3."/>
      <w:lvlJc w:val="right"/>
      <w:pPr>
        <w:ind w:left="2160" w:hanging="180"/>
      </w:pPr>
    </w:lvl>
    <w:lvl w:ilvl="3" w:tplc="CE4E3654">
      <w:start w:val="1"/>
      <w:numFmt w:val="decimal"/>
      <w:lvlText w:val="%4."/>
      <w:lvlJc w:val="left"/>
      <w:pPr>
        <w:ind w:left="2880" w:hanging="360"/>
      </w:pPr>
    </w:lvl>
    <w:lvl w:ilvl="4" w:tplc="88D02FAA">
      <w:start w:val="1"/>
      <w:numFmt w:val="lowerLetter"/>
      <w:lvlText w:val="%5."/>
      <w:lvlJc w:val="left"/>
      <w:pPr>
        <w:ind w:left="3600" w:hanging="360"/>
      </w:pPr>
    </w:lvl>
    <w:lvl w:ilvl="5" w:tplc="03CAC6D4">
      <w:start w:val="1"/>
      <w:numFmt w:val="lowerRoman"/>
      <w:lvlText w:val="%6."/>
      <w:lvlJc w:val="right"/>
      <w:pPr>
        <w:ind w:left="4320" w:hanging="180"/>
      </w:pPr>
    </w:lvl>
    <w:lvl w:ilvl="6" w:tplc="3118D186">
      <w:start w:val="1"/>
      <w:numFmt w:val="decimal"/>
      <w:lvlText w:val="%7."/>
      <w:lvlJc w:val="left"/>
      <w:pPr>
        <w:ind w:left="5040" w:hanging="360"/>
      </w:pPr>
    </w:lvl>
    <w:lvl w:ilvl="7" w:tplc="7CCE5FB6">
      <w:start w:val="1"/>
      <w:numFmt w:val="lowerLetter"/>
      <w:lvlText w:val="%8."/>
      <w:lvlJc w:val="left"/>
      <w:pPr>
        <w:ind w:left="5760" w:hanging="360"/>
      </w:pPr>
    </w:lvl>
    <w:lvl w:ilvl="8" w:tplc="44CEFCB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F00F1"/>
    <w:multiLevelType w:val="hybridMultilevel"/>
    <w:tmpl w:val="C10A40F2"/>
    <w:lvl w:ilvl="0" w:tplc="F496B8A6">
      <w:start w:val="1"/>
      <w:numFmt w:val="upperLetter"/>
      <w:lvlText w:val="%1."/>
      <w:lvlJc w:val="left"/>
      <w:pPr>
        <w:ind w:left="720" w:hanging="360"/>
      </w:pPr>
    </w:lvl>
    <w:lvl w:ilvl="1" w:tplc="54106358">
      <w:start w:val="1"/>
      <w:numFmt w:val="lowerLetter"/>
      <w:lvlText w:val="%2."/>
      <w:lvlJc w:val="left"/>
      <w:pPr>
        <w:ind w:left="1440" w:hanging="360"/>
      </w:pPr>
    </w:lvl>
    <w:lvl w:ilvl="2" w:tplc="A58EBE98">
      <w:start w:val="1"/>
      <w:numFmt w:val="lowerRoman"/>
      <w:lvlText w:val="%3."/>
      <w:lvlJc w:val="right"/>
      <w:pPr>
        <w:ind w:left="2160" w:hanging="180"/>
      </w:pPr>
    </w:lvl>
    <w:lvl w:ilvl="3" w:tplc="65920554">
      <w:start w:val="1"/>
      <w:numFmt w:val="decimal"/>
      <w:lvlText w:val="%4."/>
      <w:lvlJc w:val="left"/>
      <w:pPr>
        <w:ind w:left="2880" w:hanging="360"/>
      </w:pPr>
    </w:lvl>
    <w:lvl w:ilvl="4" w:tplc="A6C432D6">
      <w:start w:val="1"/>
      <w:numFmt w:val="lowerLetter"/>
      <w:lvlText w:val="%5."/>
      <w:lvlJc w:val="left"/>
      <w:pPr>
        <w:ind w:left="3600" w:hanging="360"/>
      </w:pPr>
    </w:lvl>
    <w:lvl w:ilvl="5" w:tplc="9314D1E4">
      <w:start w:val="1"/>
      <w:numFmt w:val="lowerRoman"/>
      <w:lvlText w:val="%6."/>
      <w:lvlJc w:val="right"/>
      <w:pPr>
        <w:ind w:left="4320" w:hanging="180"/>
      </w:pPr>
    </w:lvl>
    <w:lvl w:ilvl="6" w:tplc="A620A2F4">
      <w:start w:val="1"/>
      <w:numFmt w:val="decimal"/>
      <w:lvlText w:val="%7."/>
      <w:lvlJc w:val="left"/>
      <w:pPr>
        <w:ind w:left="5040" w:hanging="360"/>
      </w:pPr>
    </w:lvl>
    <w:lvl w:ilvl="7" w:tplc="E24ABC26">
      <w:start w:val="1"/>
      <w:numFmt w:val="lowerLetter"/>
      <w:lvlText w:val="%8."/>
      <w:lvlJc w:val="left"/>
      <w:pPr>
        <w:ind w:left="5760" w:hanging="360"/>
      </w:pPr>
    </w:lvl>
    <w:lvl w:ilvl="8" w:tplc="919804E4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C3816"/>
    <w:multiLevelType w:val="hybridMultilevel"/>
    <w:tmpl w:val="E94A488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C9D1968"/>
    <w:multiLevelType w:val="hybridMultilevel"/>
    <w:tmpl w:val="0B7C0FCC"/>
    <w:lvl w:ilvl="0" w:tplc="87FAE8D6">
      <w:start w:val="1"/>
      <w:numFmt w:val="upperLetter"/>
      <w:lvlText w:val="%1."/>
      <w:lvlJc w:val="left"/>
      <w:pPr>
        <w:ind w:left="720" w:hanging="360"/>
      </w:pPr>
    </w:lvl>
    <w:lvl w:ilvl="1" w:tplc="037E463E">
      <w:start w:val="1"/>
      <w:numFmt w:val="lowerLetter"/>
      <w:lvlText w:val="%2."/>
      <w:lvlJc w:val="left"/>
      <w:pPr>
        <w:ind w:left="1440" w:hanging="360"/>
      </w:pPr>
    </w:lvl>
    <w:lvl w:ilvl="2" w:tplc="1916CD3A">
      <w:start w:val="1"/>
      <w:numFmt w:val="lowerRoman"/>
      <w:lvlText w:val="%3."/>
      <w:lvlJc w:val="right"/>
      <w:pPr>
        <w:ind w:left="2160" w:hanging="180"/>
      </w:pPr>
    </w:lvl>
    <w:lvl w:ilvl="3" w:tplc="9F7E0C1E">
      <w:start w:val="1"/>
      <w:numFmt w:val="decimal"/>
      <w:lvlText w:val="%4."/>
      <w:lvlJc w:val="left"/>
      <w:pPr>
        <w:ind w:left="2880" w:hanging="360"/>
      </w:pPr>
    </w:lvl>
    <w:lvl w:ilvl="4" w:tplc="2904EE04">
      <w:start w:val="1"/>
      <w:numFmt w:val="lowerLetter"/>
      <w:lvlText w:val="%5."/>
      <w:lvlJc w:val="left"/>
      <w:pPr>
        <w:ind w:left="3600" w:hanging="360"/>
      </w:pPr>
    </w:lvl>
    <w:lvl w:ilvl="5" w:tplc="ADEE0202">
      <w:start w:val="1"/>
      <w:numFmt w:val="lowerRoman"/>
      <w:lvlText w:val="%6."/>
      <w:lvlJc w:val="right"/>
      <w:pPr>
        <w:ind w:left="4320" w:hanging="180"/>
      </w:pPr>
    </w:lvl>
    <w:lvl w:ilvl="6" w:tplc="4B186512">
      <w:start w:val="1"/>
      <w:numFmt w:val="decimal"/>
      <w:lvlText w:val="%7."/>
      <w:lvlJc w:val="left"/>
      <w:pPr>
        <w:ind w:left="5040" w:hanging="360"/>
      </w:pPr>
    </w:lvl>
    <w:lvl w:ilvl="7" w:tplc="C840E416">
      <w:start w:val="1"/>
      <w:numFmt w:val="lowerLetter"/>
      <w:lvlText w:val="%8."/>
      <w:lvlJc w:val="left"/>
      <w:pPr>
        <w:ind w:left="5760" w:hanging="360"/>
      </w:pPr>
    </w:lvl>
    <w:lvl w:ilvl="8" w:tplc="CACA40A8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491231">
    <w:abstractNumId w:val="15"/>
  </w:num>
  <w:num w:numId="2" w16cid:durableId="1140928510">
    <w:abstractNumId w:val="17"/>
  </w:num>
  <w:num w:numId="3" w16cid:durableId="498616011">
    <w:abstractNumId w:val="14"/>
  </w:num>
  <w:num w:numId="4" w16cid:durableId="947128928">
    <w:abstractNumId w:val="8"/>
  </w:num>
  <w:num w:numId="5" w16cid:durableId="1014722924">
    <w:abstractNumId w:val="6"/>
  </w:num>
  <w:num w:numId="6" w16cid:durableId="1128939807">
    <w:abstractNumId w:val="5"/>
  </w:num>
  <w:num w:numId="7" w16cid:durableId="1845975795">
    <w:abstractNumId w:val="4"/>
  </w:num>
  <w:num w:numId="8" w16cid:durableId="562832435">
    <w:abstractNumId w:val="7"/>
  </w:num>
  <w:num w:numId="9" w16cid:durableId="166557469">
    <w:abstractNumId w:val="3"/>
  </w:num>
  <w:num w:numId="10" w16cid:durableId="1033656322">
    <w:abstractNumId w:val="2"/>
  </w:num>
  <w:num w:numId="11" w16cid:durableId="845562634">
    <w:abstractNumId w:val="1"/>
  </w:num>
  <w:num w:numId="12" w16cid:durableId="170067726">
    <w:abstractNumId w:val="0"/>
  </w:num>
  <w:num w:numId="13" w16cid:durableId="1348676519">
    <w:abstractNumId w:val="16"/>
  </w:num>
  <w:num w:numId="14" w16cid:durableId="1785987">
    <w:abstractNumId w:val="12"/>
  </w:num>
  <w:num w:numId="15" w16cid:durableId="381170405">
    <w:abstractNumId w:val="13"/>
  </w:num>
  <w:num w:numId="16" w16cid:durableId="1392727105">
    <w:abstractNumId w:val="9"/>
  </w:num>
  <w:num w:numId="17" w16cid:durableId="1828083252">
    <w:abstractNumId w:val="10"/>
  </w:num>
  <w:num w:numId="18" w16cid:durableId="44750373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0A6B"/>
    <w:rsid w:val="0006063C"/>
    <w:rsid w:val="00066610"/>
    <w:rsid w:val="000A6BA1"/>
    <w:rsid w:val="000B2D67"/>
    <w:rsid w:val="000D48FC"/>
    <w:rsid w:val="000E5350"/>
    <w:rsid w:val="001052CB"/>
    <w:rsid w:val="00111F51"/>
    <w:rsid w:val="001216B9"/>
    <w:rsid w:val="0015074B"/>
    <w:rsid w:val="001F2336"/>
    <w:rsid w:val="0025249B"/>
    <w:rsid w:val="00271D44"/>
    <w:rsid w:val="00275547"/>
    <w:rsid w:val="0027654B"/>
    <w:rsid w:val="00277311"/>
    <w:rsid w:val="0027795D"/>
    <w:rsid w:val="0029639D"/>
    <w:rsid w:val="002B55A3"/>
    <w:rsid w:val="002D2C24"/>
    <w:rsid w:val="00326F90"/>
    <w:rsid w:val="00342FF6"/>
    <w:rsid w:val="00387FE3"/>
    <w:rsid w:val="003F6515"/>
    <w:rsid w:val="0045336C"/>
    <w:rsid w:val="00466077"/>
    <w:rsid w:val="004A641F"/>
    <w:rsid w:val="004A6E81"/>
    <w:rsid w:val="004B2E7C"/>
    <w:rsid w:val="004B593C"/>
    <w:rsid w:val="005A1200"/>
    <w:rsid w:val="005C42B8"/>
    <w:rsid w:val="005F2DDF"/>
    <w:rsid w:val="006471D4"/>
    <w:rsid w:val="00663296"/>
    <w:rsid w:val="006C23C4"/>
    <w:rsid w:val="006C2D46"/>
    <w:rsid w:val="006D33AC"/>
    <w:rsid w:val="006E2A8C"/>
    <w:rsid w:val="00736727"/>
    <w:rsid w:val="007749AF"/>
    <w:rsid w:val="00794EBC"/>
    <w:rsid w:val="00813D1A"/>
    <w:rsid w:val="00854A14"/>
    <w:rsid w:val="008606CF"/>
    <w:rsid w:val="00871756"/>
    <w:rsid w:val="008B3234"/>
    <w:rsid w:val="008C7784"/>
    <w:rsid w:val="00912C5E"/>
    <w:rsid w:val="00930F33"/>
    <w:rsid w:val="00984810"/>
    <w:rsid w:val="00987137"/>
    <w:rsid w:val="009B2E5C"/>
    <w:rsid w:val="009C1E1E"/>
    <w:rsid w:val="009C3AF0"/>
    <w:rsid w:val="009F4D90"/>
    <w:rsid w:val="00A10458"/>
    <w:rsid w:val="00A12EE5"/>
    <w:rsid w:val="00A479B3"/>
    <w:rsid w:val="00AA1D8D"/>
    <w:rsid w:val="00AA3EC9"/>
    <w:rsid w:val="00AB67AA"/>
    <w:rsid w:val="00AC76EB"/>
    <w:rsid w:val="00AC7AF9"/>
    <w:rsid w:val="00B33DC5"/>
    <w:rsid w:val="00B44F23"/>
    <w:rsid w:val="00B47730"/>
    <w:rsid w:val="00BA09A8"/>
    <w:rsid w:val="00BA4C2B"/>
    <w:rsid w:val="00BB5E3C"/>
    <w:rsid w:val="00BD0140"/>
    <w:rsid w:val="00C24502"/>
    <w:rsid w:val="00C37635"/>
    <w:rsid w:val="00CB0664"/>
    <w:rsid w:val="00D33C2A"/>
    <w:rsid w:val="00D5635F"/>
    <w:rsid w:val="00D57E81"/>
    <w:rsid w:val="00D70BA2"/>
    <w:rsid w:val="00D75311"/>
    <w:rsid w:val="00D846FA"/>
    <w:rsid w:val="00DB3C41"/>
    <w:rsid w:val="00DF1F0C"/>
    <w:rsid w:val="00E12DED"/>
    <w:rsid w:val="00E15250"/>
    <w:rsid w:val="00E32419"/>
    <w:rsid w:val="00E55740"/>
    <w:rsid w:val="00E66DC1"/>
    <w:rsid w:val="00ED3244"/>
    <w:rsid w:val="00F376EE"/>
    <w:rsid w:val="00FA219F"/>
    <w:rsid w:val="00FA31A5"/>
    <w:rsid w:val="00FA43FC"/>
    <w:rsid w:val="00FC693F"/>
    <w:rsid w:val="00FD29C4"/>
    <w:rsid w:val="0584D1B6"/>
    <w:rsid w:val="05A497A9"/>
    <w:rsid w:val="0661CDA1"/>
    <w:rsid w:val="06DA2760"/>
    <w:rsid w:val="079E2A81"/>
    <w:rsid w:val="08962F48"/>
    <w:rsid w:val="09166F4E"/>
    <w:rsid w:val="0A11C822"/>
    <w:rsid w:val="0A8EEA21"/>
    <w:rsid w:val="0C030067"/>
    <w:rsid w:val="0DB8E316"/>
    <w:rsid w:val="0E3FDCE9"/>
    <w:rsid w:val="0EE53945"/>
    <w:rsid w:val="0F070CAA"/>
    <w:rsid w:val="10D934A5"/>
    <w:rsid w:val="10F63C52"/>
    <w:rsid w:val="1597AC4B"/>
    <w:rsid w:val="1877AEEE"/>
    <w:rsid w:val="1A137F4F"/>
    <w:rsid w:val="209F1AF6"/>
    <w:rsid w:val="20A730B4"/>
    <w:rsid w:val="27E31417"/>
    <w:rsid w:val="29C3FCB5"/>
    <w:rsid w:val="2C3BF377"/>
    <w:rsid w:val="2D270B62"/>
    <w:rsid w:val="2F36DAB3"/>
    <w:rsid w:val="3833D311"/>
    <w:rsid w:val="387E26D5"/>
    <w:rsid w:val="39991FB1"/>
    <w:rsid w:val="39CFA372"/>
    <w:rsid w:val="3A445A6A"/>
    <w:rsid w:val="3A7F9E66"/>
    <w:rsid w:val="3B6B73D3"/>
    <w:rsid w:val="3CEE1BD7"/>
    <w:rsid w:val="3D074434"/>
    <w:rsid w:val="3DB00721"/>
    <w:rsid w:val="435659A8"/>
    <w:rsid w:val="46175BEE"/>
    <w:rsid w:val="4682EA7A"/>
    <w:rsid w:val="4A718A1C"/>
    <w:rsid w:val="4AA7E598"/>
    <w:rsid w:val="4BD9EBC3"/>
    <w:rsid w:val="5043CDE9"/>
    <w:rsid w:val="59327B84"/>
    <w:rsid w:val="593C91B5"/>
    <w:rsid w:val="5DAF1F2E"/>
    <w:rsid w:val="5EBFFDCC"/>
    <w:rsid w:val="603316E1"/>
    <w:rsid w:val="629E1075"/>
    <w:rsid w:val="62E98507"/>
    <w:rsid w:val="63B25557"/>
    <w:rsid w:val="662382AE"/>
    <w:rsid w:val="67150A61"/>
    <w:rsid w:val="6868E1E6"/>
    <w:rsid w:val="689F3D62"/>
    <w:rsid w:val="6C90674D"/>
    <w:rsid w:val="6DEC81AF"/>
    <w:rsid w:val="6F7A277B"/>
    <w:rsid w:val="6FA7DBFF"/>
    <w:rsid w:val="6FAEDFB2"/>
    <w:rsid w:val="6FF93376"/>
    <w:rsid w:val="744D989E"/>
    <w:rsid w:val="7475067A"/>
    <w:rsid w:val="748B73C1"/>
    <w:rsid w:val="7D03D023"/>
    <w:rsid w:val="7D838292"/>
    <w:rsid w:val="7F37B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B994AE8"/>
  <w15:docId w15:val="{18F525B1-62CF-9842-B162-E36C6F89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4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6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8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9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10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1216B9"/>
  </w:style>
  <w:style w:type="character" w:styleId="Hyperlink">
    <w:name w:val="Hyperlink"/>
    <w:basedOn w:val="DefaultParagraphFont"/>
    <w:uiPriority w:val="99"/>
    <w:unhideWhenUsed/>
    <w:rsid w:val="006E2A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2A8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42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styleId="CommentReference">
    <w:name w:val="annotation reference"/>
    <w:basedOn w:val="DefaultParagraphFont"/>
    <w:uiPriority w:val="99"/>
    <w:semiHidden/>
    <w:unhideWhenUsed/>
    <w:rsid w:val="00DB3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3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3C4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3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3C41"/>
    <w:rPr>
      <w:b/>
      <w:bCs/>
      <w:sz w:val="20"/>
      <w:szCs w:val="20"/>
    </w:rPr>
  </w:style>
  <w:style w:type="paragraph" w:customStyle="1" w:styleId="paragraph">
    <w:name w:val="paragraph"/>
    <w:basedOn w:val="Normal"/>
    <w:rsid w:val="006C2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normaltextrun">
    <w:name w:val="normaltextrun"/>
    <w:basedOn w:val="DefaultParagraphFont"/>
    <w:rsid w:val="006C2D46"/>
  </w:style>
  <w:style w:type="character" w:customStyle="1" w:styleId="eop">
    <w:name w:val="eop"/>
    <w:basedOn w:val="DefaultParagraphFont"/>
    <w:rsid w:val="006C2D46"/>
  </w:style>
  <w:style w:type="character" w:styleId="FollowedHyperlink">
    <w:name w:val="FollowedHyperlink"/>
    <w:basedOn w:val="DefaultParagraphFont"/>
    <w:uiPriority w:val="99"/>
    <w:semiHidden/>
    <w:unhideWhenUsed/>
    <w:rsid w:val="00D75311"/>
    <w:rPr>
      <w:color w:val="800080" w:themeColor="followedHyperlink"/>
      <w:u w:val="single"/>
    </w:rPr>
  </w:style>
  <w:style w:type="paragraph" w:customStyle="1" w:styleId="chapternumber">
    <w:name w:val="chapternumber"/>
    <w:basedOn w:val="Normal"/>
    <w:rsid w:val="00A479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/>
    </w:rPr>
  </w:style>
  <w:style w:type="character" w:customStyle="1" w:styleId="sccappellantforindexchar">
    <w:name w:val="sccappellantforindexchar"/>
    <w:basedOn w:val="DefaultParagraphFont"/>
    <w:rsid w:val="004B2E7C"/>
  </w:style>
  <w:style w:type="character" w:customStyle="1" w:styleId="sccrespondentforindexchar">
    <w:name w:val="sccrespondentforindexchar"/>
    <w:basedOn w:val="DefaultParagraphFont"/>
    <w:rsid w:val="004B2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6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1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3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cc-csc.lexum.com/scc-csc/scc-csc/en/item/1643/index.do" TargetMode="External"/><Relationship Id="rId18" Type="http://schemas.openxmlformats.org/officeDocument/2006/relationships/hyperlink" Target="https://scc-csc.lexum.com/scc-csc/scc-csc/en/item/695/index.do" TargetMode="External"/><Relationship Id="rId26" Type="http://schemas.openxmlformats.org/officeDocument/2006/relationships/hyperlink" Target="https://doi.org/10.60082/2563-8505.1293" TargetMode="External"/><Relationship Id="rId3" Type="http://schemas.openxmlformats.org/officeDocument/2006/relationships/styles" Target="styles.xml"/><Relationship Id="rId21" Type="http://schemas.openxmlformats.org/officeDocument/2006/relationships/hyperlink" Target="https://aspercentre.ca/wp-content/uploads/2023/10/Factum-Final-David-Asper-Centre-for-Constititutional-Rights.pdf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scc-csc.lexum.com/scc-csc/scc-csc/en/item/117/index.do" TargetMode="External"/><Relationship Id="rId17" Type="http://schemas.openxmlformats.org/officeDocument/2006/relationships/hyperlink" Target="https://scc-csc.lexum.com/scc-csc/scc-csc/en/item/14637/index.do" TargetMode="External"/><Relationship Id="rId25" Type="http://schemas.openxmlformats.org/officeDocument/2006/relationships/hyperlink" Target="https://canliiconnects.org/en/cases/2021onsc7386" TargetMode="External"/><Relationship Id="rId33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scc-csc.lexum.com/scc-csc/scc-csc/en/item/17140/index.do" TargetMode="External"/><Relationship Id="rId20" Type="http://schemas.openxmlformats.org/officeDocument/2006/relationships/hyperlink" Target="https://www.scc-csc.ca/case-dossier/info/mal-mdaa-eng.aspx?cas=40360" TargetMode="External"/><Relationship Id="rId29" Type="http://schemas.openxmlformats.org/officeDocument/2006/relationships/hyperlink" Target="https://aspercentre.ca/who-we-are-2/our-dono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percentre.ca/wp-content/uploads/2023/10/S3E3-Charter-Values-full-transcript.docx" TargetMode="External"/><Relationship Id="rId24" Type="http://schemas.openxmlformats.org/officeDocument/2006/relationships/hyperlink" Target="http://www.canlii.org/en/on/onhrt/doc/2013/2013hrto180/2013hrto180.html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scc-csc.lexum.com/scc-csc/scc-csc/en/item/14703/index.do" TargetMode="External"/><Relationship Id="rId23" Type="http://schemas.openxmlformats.org/officeDocument/2006/relationships/hyperlink" Target="https://scc-csc.lexum.com/scc-csc/scc-csc/en/item/2408/index.do" TargetMode="External"/><Relationship Id="rId28" Type="http://schemas.openxmlformats.org/officeDocument/2006/relationships/hyperlink" Target="http://law.utoronto.ca/" TargetMode="External"/><Relationship Id="rId36" Type="http://schemas.microsoft.com/office/2020/10/relationships/intelligence" Target="intelligence2.xml"/><Relationship Id="rId10" Type="http://schemas.openxmlformats.org/officeDocument/2006/relationships/hyperlink" Target="https://www.torontomu.ca/law/faculty-and-research/faculty/instructors/matthew-horner/" TargetMode="External"/><Relationship Id="rId19" Type="http://schemas.openxmlformats.org/officeDocument/2006/relationships/hyperlink" Target="https://scc-csc.lexum.com/scc-csc/scc-csc/en/item/1290/index.do" TargetMode="External"/><Relationship Id="rId31" Type="http://schemas.openxmlformats.org/officeDocument/2006/relationships/hyperlink" Target="https://www.youtube.com/watch?v=gO8Jf2j2Qg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aw.utoronto.ca/faculty-staff/full-time-faculty/richard-stacey" TargetMode="External"/><Relationship Id="rId14" Type="http://schemas.openxmlformats.org/officeDocument/2006/relationships/hyperlink" Target="https://scc-csc.lexum.com/scc-csc/scc-csc/en/item/7998/index.do" TargetMode="External"/><Relationship Id="rId22" Type="http://schemas.openxmlformats.org/officeDocument/2006/relationships/hyperlink" Target="https://decisions.scc-csc.ca/scc-csc/scc-csc/en/item/18078/index.do" TargetMode="External"/><Relationship Id="rId27" Type="http://schemas.openxmlformats.org/officeDocument/2006/relationships/hyperlink" Target="http://www.aspercentre.ca/" TargetMode="External"/><Relationship Id="rId30" Type="http://schemas.openxmlformats.org/officeDocument/2006/relationships/hyperlink" Target="https://www.bellroom.media/about" TargetMode="External"/><Relationship Id="rId35" Type="http://schemas.openxmlformats.org/officeDocument/2006/relationships/theme" Target="theme/theme1.xml"/><Relationship Id="rId8" Type="http://schemas.openxmlformats.org/officeDocument/2006/relationships/hyperlink" Target="https://aspercentre.ca/who-we-are-2/our-staff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3411EC8-F1B9-C84B-81E7-620E13BCC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/>
  <cp:lastModifiedBy>Tal Schreier</cp:lastModifiedBy>
  <cp:revision>3</cp:revision>
  <dcterms:created xsi:type="dcterms:W3CDTF">2023-10-26T17:33:00Z</dcterms:created>
  <dcterms:modified xsi:type="dcterms:W3CDTF">2023-10-26T17:35:00Z</dcterms:modified>
  <cp:category/>
</cp:coreProperties>
</file>